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oter1.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9C7886" w14:textId="057A4EC8" w:rsidR="0012667F" w:rsidRDefault="0012667F">
      <w:pPr>
        <w:rPr>
          <w:rFonts w:ascii="Arial" w:hAnsi="Arial" w:cs="Arial"/>
          <w:b/>
          <w:sz w:val="28"/>
          <w:lang w:val="es-MX"/>
        </w:rPr>
      </w:pPr>
      <w:r>
        <w:rPr>
          <w:noProof/>
          <w:lang w:eastAsia="es-CR"/>
        </w:rPr>
        <w:drawing>
          <wp:anchor distT="0" distB="0" distL="0" distR="0" simplePos="0" relativeHeight="251667456" behindDoc="1" locked="0" layoutInCell="1" allowOverlap="1" wp14:anchorId="137EE209" wp14:editId="1A783B5C">
            <wp:simplePos x="0" y="0"/>
            <wp:positionH relativeFrom="page">
              <wp:posOffset>250796</wp:posOffset>
            </wp:positionH>
            <wp:positionV relativeFrom="margin">
              <wp:align>center</wp:align>
            </wp:positionV>
            <wp:extent cx="7292340" cy="9429750"/>
            <wp:effectExtent l="0" t="0" r="3810" b="0"/>
            <wp:wrapNone/>
            <wp:docPr id="11" name="image1.jpeg" descr="WORD TEMPLATE-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292340" cy="9429750"/>
                    </a:xfrm>
                    <a:prstGeom prst="rect">
                      <a:avLst/>
                    </a:prstGeom>
                  </pic:spPr>
                </pic:pic>
              </a:graphicData>
            </a:graphic>
          </wp:anchor>
        </w:drawing>
      </w:r>
    </w:p>
    <w:p w14:paraId="55837885" w14:textId="402D0727" w:rsidR="0012667F" w:rsidRDefault="0012667F">
      <w:pPr>
        <w:rPr>
          <w:rFonts w:ascii="Arial" w:hAnsi="Arial" w:cs="Arial"/>
          <w:b/>
          <w:sz w:val="28"/>
          <w:lang w:val="es-MX"/>
        </w:rPr>
      </w:pPr>
      <w:bookmarkStart w:id="0" w:name="_Hlk107838294"/>
      <w:bookmarkEnd w:id="0"/>
      <w:r>
        <w:rPr>
          <w:rFonts w:ascii="Times New Roman"/>
          <w:noProof/>
          <w:sz w:val="20"/>
          <w:lang w:eastAsia="es-CR"/>
        </w:rPr>
        <mc:AlternateContent>
          <mc:Choice Requires="wps">
            <w:drawing>
              <wp:anchor distT="0" distB="0" distL="114300" distR="114300" simplePos="0" relativeHeight="251669504" behindDoc="1" locked="0" layoutInCell="1" allowOverlap="1" wp14:anchorId="5AFB67D9" wp14:editId="48FF47DB">
                <wp:simplePos x="0" y="0"/>
                <wp:positionH relativeFrom="column">
                  <wp:posOffset>971550</wp:posOffset>
                </wp:positionH>
                <wp:positionV relativeFrom="paragraph">
                  <wp:posOffset>3924300</wp:posOffset>
                </wp:positionV>
                <wp:extent cx="3816985" cy="807720"/>
                <wp:effectExtent l="0" t="0" r="0" b="0"/>
                <wp:wrapTight wrapText="bothSides">
                  <wp:wrapPolygon edited="0">
                    <wp:start x="0" y="0"/>
                    <wp:lineTo x="0" y="20887"/>
                    <wp:lineTo x="21453" y="20887"/>
                    <wp:lineTo x="21453" y="0"/>
                    <wp:lineTo x="0" y="0"/>
                  </wp:wrapPolygon>
                </wp:wrapTight>
                <wp:docPr id="11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985" cy="807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B41E89" w14:textId="4F21CEE9" w:rsidR="0012667F" w:rsidRPr="00962832" w:rsidRDefault="00962832" w:rsidP="00962832">
                            <w:pPr>
                              <w:spacing w:before="198"/>
                              <w:ind w:right="1434"/>
                              <w:jc w:val="center"/>
                              <w:rPr>
                                <w:b/>
                                <w:sz w:val="28"/>
                                <w:szCs w:val="16"/>
                              </w:rPr>
                            </w:pPr>
                            <w:r>
                              <w:rPr>
                                <w:b/>
                                <w:sz w:val="28"/>
                                <w:szCs w:val="16"/>
                              </w:rPr>
                              <w:t xml:space="preserve">                     </w:t>
                            </w:r>
                            <w:r w:rsidRPr="00962832">
                              <w:rPr>
                                <w:b/>
                                <w:sz w:val="28"/>
                                <w:szCs w:val="16"/>
                              </w:rPr>
                              <w:t>Ejecución Presupuestaria</w:t>
                            </w:r>
                          </w:p>
                          <w:p w14:paraId="70200F69" w14:textId="3888EDD7" w:rsidR="00962832" w:rsidRPr="00962832" w:rsidRDefault="00962832" w:rsidP="00962832">
                            <w:pPr>
                              <w:spacing w:before="198"/>
                              <w:ind w:right="1434"/>
                              <w:jc w:val="center"/>
                              <w:rPr>
                                <w:b/>
                                <w:sz w:val="28"/>
                                <w:szCs w:val="16"/>
                              </w:rPr>
                            </w:pPr>
                            <w:r>
                              <w:rPr>
                                <w:b/>
                                <w:sz w:val="28"/>
                                <w:szCs w:val="16"/>
                              </w:rPr>
                              <w:t xml:space="preserve">                            </w:t>
                            </w:r>
                            <w:r w:rsidRPr="00962832">
                              <w:rPr>
                                <w:b/>
                                <w:sz w:val="28"/>
                                <w:szCs w:val="16"/>
                              </w:rPr>
                              <w:t>III T</w:t>
                            </w:r>
                            <w:r>
                              <w:rPr>
                                <w:b/>
                                <w:sz w:val="28"/>
                                <w:szCs w:val="16"/>
                              </w:rPr>
                              <w:t>rimestre 2022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AFB67D9" id="_x0000_t202" coordsize="21600,21600" o:spt="202" path="m,l,21600r21600,l21600,xe">
                <v:stroke joinstyle="miter"/>
                <v:path gradientshapeok="t" o:connecttype="rect"/>
              </v:shapetype>
              <v:shape id="Text Box 70" o:spid="_x0000_s1026" type="#_x0000_t202" style="position:absolute;margin-left:76.5pt;margin-top:309pt;width:300.55pt;height:63.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" stroked="f">
                <v:textbox inset="0,0,0,0">
                  <w:txbxContent>
                    <w:p w14:paraId="57B41E89" w14:textId="4F21CEE9" w:rsidR="0012667F" w:rsidRPr="00962832" w:rsidRDefault="00962832" w:rsidP="00962832">
                      <w:pPr>
                        <w:spacing w:before="198"/>
                        <w:ind w:right="1434"/>
                        <w:jc w:val="center"/>
                        <w:rPr>
                          <w:b/>
                          <w:sz w:val="28"/>
                          <w:szCs w:val="16"/>
                        </w:rPr>
                      </w:pPr>
                      <w:r>
                        <w:rPr>
                          <w:b/>
                          <w:sz w:val="28"/>
                          <w:szCs w:val="16"/>
                        </w:rPr>
                        <w:t xml:space="preserve">                     </w:t>
                      </w:r>
                      <w:r w:rsidRPr="00962832">
                        <w:rPr>
                          <w:b/>
                          <w:sz w:val="28"/>
                          <w:szCs w:val="16"/>
                        </w:rPr>
                        <w:t>Ejecución Presupuestaria</w:t>
                      </w:r>
                    </w:p>
                    <w:p w14:paraId="70200F69" w14:textId="3888EDD7" w:rsidR="00962832" w:rsidRPr="00962832" w:rsidRDefault="00962832" w:rsidP="00962832">
                      <w:pPr>
                        <w:spacing w:before="198"/>
                        <w:ind w:right="1434"/>
                        <w:jc w:val="center"/>
                        <w:rPr>
                          <w:b/>
                          <w:sz w:val="28"/>
                          <w:szCs w:val="16"/>
                        </w:rPr>
                      </w:pPr>
                      <w:r>
                        <w:rPr>
                          <w:b/>
                          <w:sz w:val="28"/>
                          <w:szCs w:val="16"/>
                        </w:rPr>
                        <w:t xml:space="preserve">                            </w:t>
                      </w:r>
                      <w:r w:rsidRPr="00962832">
                        <w:rPr>
                          <w:b/>
                          <w:sz w:val="28"/>
                          <w:szCs w:val="16"/>
                        </w:rPr>
                        <w:t>III T</w:t>
                      </w:r>
                      <w:r>
                        <w:rPr>
                          <w:b/>
                          <w:sz w:val="28"/>
                          <w:szCs w:val="16"/>
                        </w:rPr>
                        <w:t>rimestre 2022</w:t>
                      </w:r>
                    </w:p>
                  </w:txbxContent>
                </v:textbox>
                <w10:wrap type="tight"/>
              </v:shape>
            </w:pict>
          </mc:Fallback>
        </mc:AlternateContent>
      </w:r>
      <w:r>
        <w:rPr>
          <w:rFonts w:ascii="Arial" w:hAnsi="Arial" w:cs="Arial"/>
          <w:b/>
          <w:sz w:val="28"/>
          <w:lang w:val="es-MX"/>
        </w:rPr>
        <w:br w:type="page"/>
      </w:r>
    </w:p>
    <w:sdt>
      <w:sdtPr>
        <w:rPr>
          <w:rFonts w:asciiTheme="minorHAnsi" w:eastAsiaTheme="minorHAnsi" w:hAnsiTheme="minorHAnsi" w:cstheme="minorBidi"/>
          <w:color w:val="auto"/>
          <w:sz w:val="22"/>
          <w:szCs w:val="22"/>
          <w:lang w:val="es-ES" w:eastAsia="en-US"/>
        </w:rPr>
        <w:id w:val="-555623529"/>
        <w:docPartObj>
          <w:docPartGallery w:val="Table of Contents"/>
          <w:docPartUnique/>
        </w:docPartObj>
      </w:sdtPr>
      <w:sdtEndPr>
        <w:rPr>
          <w:b/>
          <w:bCs/>
        </w:rPr>
      </w:sdtEndPr>
      <w:sdtContent>
        <w:p w14:paraId="714B5C50" w14:textId="0B76C581" w:rsidR="00962832" w:rsidRDefault="00962832">
          <w:pPr>
            <w:pStyle w:val="TtuloTDC"/>
          </w:pPr>
          <w:r>
            <w:rPr>
              <w:lang w:val="es-ES"/>
            </w:rPr>
            <w:t>Contenido</w:t>
          </w:r>
        </w:p>
        <w:p w14:paraId="671DC97D" w14:textId="663DEED5" w:rsidR="00B42A0F" w:rsidRDefault="00962832">
          <w:pPr>
            <w:pStyle w:val="TDC1"/>
            <w:tabs>
              <w:tab w:val="right" w:leader="dot" w:pos="8828"/>
            </w:tabs>
            <w:rPr>
              <w:rFonts w:eastAsiaTheme="minorEastAsia"/>
              <w:noProof/>
              <w:lang w:eastAsia="es-CR"/>
            </w:rPr>
          </w:pPr>
          <w:r>
            <w:fldChar w:fldCharType="begin"/>
          </w:r>
          <w:r>
            <w:instrText xml:space="preserve"> TOC \o "1-3" \h \z \u </w:instrText>
          </w:r>
          <w:r>
            <w:fldChar w:fldCharType="separate"/>
          </w:r>
          <w:hyperlink w:anchor="_Toc115779845" w:history="1">
            <w:r w:rsidR="00B42A0F" w:rsidRPr="006D6A53">
              <w:rPr>
                <w:rStyle w:val="Hipervnculo"/>
                <w:rFonts w:ascii="Arial" w:hAnsi="Arial" w:cs="Arial"/>
                <w:b/>
                <w:noProof/>
                <w:lang w:val="es-MX"/>
              </w:rPr>
              <w:t>PRESENTACIÓN</w:t>
            </w:r>
            <w:r w:rsidR="00B42A0F">
              <w:rPr>
                <w:noProof/>
                <w:webHidden/>
              </w:rPr>
              <w:tab/>
            </w:r>
            <w:r w:rsidR="00B42A0F">
              <w:rPr>
                <w:noProof/>
                <w:webHidden/>
              </w:rPr>
              <w:fldChar w:fldCharType="begin"/>
            </w:r>
            <w:r w:rsidR="00B42A0F">
              <w:rPr>
                <w:noProof/>
                <w:webHidden/>
              </w:rPr>
              <w:instrText xml:space="preserve"> PAGEREF _Toc115779845 \h </w:instrText>
            </w:r>
            <w:r w:rsidR="00B42A0F">
              <w:rPr>
                <w:noProof/>
                <w:webHidden/>
              </w:rPr>
            </w:r>
            <w:r w:rsidR="00B42A0F">
              <w:rPr>
                <w:noProof/>
                <w:webHidden/>
              </w:rPr>
              <w:fldChar w:fldCharType="separate"/>
            </w:r>
            <w:r w:rsidR="00B42A0F">
              <w:rPr>
                <w:noProof/>
                <w:webHidden/>
              </w:rPr>
              <w:t>3</w:t>
            </w:r>
            <w:r w:rsidR="00B42A0F">
              <w:rPr>
                <w:noProof/>
                <w:webHidden/>
              </w:rPr>
              <w:fldChar w:fldCharType="end"/>
            </w:r>
          </w:hyperlink>
        </w:p>
        <w:p w14:paraId="7CC7BBBD" w14:textId="22459D58" w:rsidR="00B42A0F" w:rsidRDefault="00B42A0F">
          <w:pPr>
            <w:pStyle w:val="TDC1"/>
            <w:tabs>
              <w:tab w:val="right" w:leader="dot" w:pos="8828"/>
            </w:tabs>
            <w:rPr>
              <w:rFonts w:eastAsiaTheme="minorEastAsia"/>
              <w:noProof/>
              <w:lang w:eastAsia="es-CR"/>
            </w:rPr>
          </w:pPr>
          <w:hyperlink w:anchor="_Toc115779846" w:history="1">
            <w:r w:rsidRPr="006D6A53">
              <w:rPr>
                <w:rStyle w:val="Hipervnculo"/>
                <w:rFonts w:ascii="Arial" w:hAnsi="Arial" w:cs="Arial"/>
                <w:b/>
                <w:bCs/>
                <w:noProof/>
                <w:lang w:val="es-MX"/>
              </w:rPr>
              <w:t>I PRESUPUESTACIÓN ACTUAL</w:t>
            </w:r>
            <w:r>
              <w:rPr>
                <w:noProof/>
                <w:webHidden/>
              </w:rPr>
              <w:tab/>
            </w:r>
            <w:r>
              <w:rPr>
                <w:noProof/>
                <w:webHidden/>
              </w:rPr>
              <w:fldChar w:fldCharType="begin"/>
            </w:r>
            <w:r>
              <w:rPr>
                <w:noProof/>
                <w:webHidden/>
              </w:rPr>
              <w:instrText xml:space="preserve"> PAGEREF _Toc115779846 \h </w:instrText>
            </w:r>
            <w:r>
              <w:rPr>
                <w:noProof/>
                <w:webHidden/>
              </w:rPr>
            </w:r>
            <w:r>
              <w:rPr>
                <w:noProof/>
                <w:webHidden/>
              </w:rPr>
              <w:fldChar w:fldCharType="separate"/>
            </w:r>
            <w:r>
              <w:rPr>
                <w:noProof/>
                <w:webHidden/>
              </w:rPr>
              <w:t>4</w:t>
            </w:r>
            <w:r>
              <w:rPr>
                <w:noProof/>
                <w:webHidden/>
              </w:rPr>
              <w:fldChar w:fldCharType="end"/>
            </w:r>
          </w:hyperlink>
        </w:p>
        <w:p w14:paraId="157A411E" w14:textId="7C29A0B0" w:rsidR="00B42A0F" w:rsidRDefault="00B42A0F">
          <w:pPr>
            <w:pStyle w:val="TDC1"/>
            <w:tabs>
              <w:tab w:val="right" w:leader="dot" w:pos="8828"/>
            </w:tabs>
            <w:rPr>
              <w:rFonts w:eastAsiaTheme="minorEastAsia"/>
              <w:noProof/>
              <w:lang w:eastAsia="es-CR"/>
            </w:rPr>
          </w:pPr>
          <w:hyperlink w:anchor="_Toc115779847" w:history="1">
            <w:r w:rsidRPr="006D6A53">
              <w:rPr>
                <w:rStyle w:val="Hipervnculo"/>
                <w:rFonts w:ascii="Arial" w:hAnsi="Arial" w:cs="Arial"/>
                <w:b/>
                <w:bCs/>
                <w:noProof/>
              </w:rPr>
              <w:t>II EJECUCIÓN PRESUPUESTARIA</w:t>
            </w:r>
            <w:r>
              <w:rPr>
                <w:noProof/>
                <w:webHidden/>
              </w:rPr>
              <w:tab/>
            </w:r>
            <w:r>
              <w:rPr>
                <w:noProof/>
                <w:webHidden/>
              </w:rPr>
              <w:fldChar w:fldCharType="begin"/>
            </w:r>
            <w:r>
              <w:rPr>
                <w:noProof/>
                <w:webHidden/>
              </w:rPr>
              <w:instrText xml:space="preserve"> PAGEREF _Toc115779847 \h </w:instrText>
            </w:r>
            <w:r>
              <w:rPr>
                <w:noProof/>
                <w:webHidden/>
              </w:rPr>
            </w:r>
            <w:r>
              <w:rPr>
                <w:noProof/>
                <w:webHidden/>
              </w:rPr>
              <w:fldChar w:fldCharType="separate"/>
            </w:r>
            <w:r>
              <w:rPr>
                <w:noProof/>
                <w:webHidden/>
              </w:rPr>
              <w:t>7</w:t>
            </w:r>
            <w:r>
              <w:rPr>
                <w:noProof/>
                <w:webHidden/>
              </w:rPr>
              <w:fldChar w:fldCharType="end"/>
            </w:r>
          </w:hyperlink>
        </w:p>
        <w:p w14:paraId="0E20CE54" w14:textId="6A1F5F0C" w:rsidR="00B42A0F" w:rsidRDefault="00B42A0F">
          <w:pPr>
            <w:pStyle w:val="TDC2"/>
            <w:tabs>
              <w:tab w:val="right" w:leader="dot" w:pos="8828"/>
            </w:tabs>
            <w:rPr>
              <w:rFonts w:eastAsiaTheme="minorEastAsia"/>
              <w:noProof/>
              <w:lang w:eastAsia="es-CR"/>
            </w:rPr>
          </w:pPr>
          <w:hyperlink w:anchor="_Toc115779848" w:history="1">
            <w:r w:rsidRPr="006D6A53">
              <w:rPr>
                <w:rStyle w:val="Hipervnculo"/>
                <w:rFonts w:ascii="Arial" w:hAnsi="Arial" w:cs="Arial"/>
                <w:b/>
                <w:bCs/>
                <w:noProof/>
                <w:lang w:val="es-MX"/>
              </w:rPr>
              <w:t>A. INGRESOS</w:t>
            </w:r>
            <w:r>
              <w:rPr>
                <w:noProof/>
                <w:webHidden/>
              </w:rPr>
              <w:tab/>
            </w:r>
            <w:r>
              <w:rPr>
                <w:noProof/>
                <w:webHidden/>
              </w:rPr>
              <w:fldChar w:fldCharType="begin"/>
            </w:r>
            <w:r>
              <w:rPr>
                <w:noProof/>
                <w:webHidden/>
              </w:rPr>
              <w:instrText xml:space="preserve"> PAGEREF _Toc115779848 \h </w:instrText>
            </w:r>
            <w:r>
              <w:rPr>
                <w:noProof/>
                <w:webHidden/>
              </w:rPr>
            </w:r>
            <w:r>
              <w:rPr>
                <w:noProof/>
                <w:webHidden/>
              </w:rPr>
              <w:fldChar w:fldCharType="separate"/>
            </w:r>
            <w:r>
              <w:rPr>
                <w:noProof/>
                <w:webHidden/>
              </w:rPr>
              <w:t>7</w:t>
            </w:r>
            <w:r>
              <w:rPr>
                <w:noProof/>
                <w:webHidden/>
              </w:rPr>
              <w:fldChar w:fldCharType="end"/>
            </w:r>
          </w:hyperlink>
        </w:p>
        <w:p w14:paraId="1B98295C" w14:textId="34A3FEF1" w:rsidR="00B42A0F" w:rsidRDefault="00B42A0F">
          <w:pPr>
            <w:pStyle w:val="TDC2"/>
            <w:tabs>
              <w:tab w:val="right" w:leader="dot" w:pos="8828"/>
            </w:tabs>
            <w:rPr>
              <w:rFonts w:eastAsiaTheme="minorEastAsia"/>
              <w:noProof/>
              <w:lang w:eastAsia="es-CR"/>
            </w:rPr>
          </w:pPr>
          <w:hyperlink w:anchor="_Toc115779849" w:history="1">
            <w:r w:rsidRPr="006D6A53">
              <w:rPr>
                <w:rStyle w:val="Hipervnculo"/>
                <w:rFonts w:ascii="Arial" w:hAnsi="Arial" w:cs="Arial"/>
                <w:b/>
                <w:bCs/>
                <w:noProof/>
                <w:lang w:val="es-MX"/>
              </w:rPr>
              <w:t>B. EGRESOS</w:t>
            </w:r>
            <w:r>
              <w:rPr>
                <w:noProof/>
                <w:webHidden/>
              </w:rPr>
              <w:tab/>
            </w:r>
            <w:r>
              <w:rPr>
                <w:noProof/>
                <w:webHidden/>
              </w:rPr>
              <w:fldChar w:fldCharType="begin"/>
            </w:r>
            <w:r>
              <w:rPr>
                <w:noProof/>
                <w:webHidden/>
              </w:rPr>
              <w:instrText xml:space="preserve"> PAGEREF _Toc115779849 \h </w:instrText>
            </w:r>
            <w:r>
              <w:rPr>
                <w:noProof/>
                <w:webHidden/>
              </w:rPr>
            </w:r>
            <w:r>
              <w:rPr>
                <w:noProof/>
                <w:webHidden/>
              </w:rPr>
              <w:fldChar w:fldCharType="separate"/>
            </w:r>
            <w:r>
              <w:rPr>
                <w:noProof/>
                <w:webHidden/>
              </w:rPr>
              <w:t>10</w:t>
            </w:r>
            <w:r>
              <w:rPr>
                <w:noProof/>
                <w:webHidden/>
              </w:rPr>
              <w:fldChar w:fldCharType="end"/>
            </w:r>
          </w:hyperlink>
        </w:p>
        <w:p w14:paraId="377774C8" w14:textId="2096FD5C" w:rsidR="00B42A0F" w:rsidRDefault="00B42A0F">
          <w:pPr>
            <w:pStyle w:val="TDC2"/>
            <w:tabs>
              <w:tab w:val="right" w:leader="dot" w:pos="8828"/>
            </w:tabs>
            <w:rPr>
              <w:rFonts w:eastAsiaTheme="minorEastAsia"/>
              <w:noProof/>
              <w:lang w:eastAsia="es-CR"/>
            </w:rPr>
          </w:pPr>
          <w:hyperlink w:anchor="_Toc115779850" w:history="1">
            <w:r w:rsidRPr="006D6A53">
              <w:rPr>
                <w:rStyle w:val="Hipervnculo"/>
                <w:rFonts w:ascii="Arial" w:hAnsi="Arial" w:cs="Arial"/>
                <w:b/>
                <w:bCs/>
                <w:noProof/>
                <w:lang w:val="es-MX"/>
              </w:rPr>
              <w:t>C. CLASIFICADOR ECONÓMICO DEL GASTO</w:t>
            </w:r>
            <w:r>
              <w:rPr>
                <w:noProof/>
                <w:webHidden/>
              </w:rPr>
              <w:tab/>
            </w:r>
            <w:r>
              <w:rPr>
                <w:noProof/>
                <w:webHidden/>
              </w:rPr>
              <w:fldChar w:fldCharType="begin"/>
            </w:r>
            <w:r>
              <w:rPr>
                <w:noProof/>
                <w:webHidden/>
              </w:rPr>
              <w:instrText xml:space="preserve"> PAGEREF _Toc115779850 \h </w:instrText>
            </w:r>
            <w:r>
              <w:rPr>
                <w:noProof/>
                <w:webHidden/>
              </w:rPr>
            </w:r>
            <w:r>
              <w:rPr>
                <w:noProof/>
                <w:webHidden/>
              </w:rPr>
              <w:fldChar w:fldCharType="separate"/>
            </w:r>
            <w:r>
              <w:rPr>
                <w:noProof/>
                <w:webHidden/>
              </w:rPr>
              <w:t>15</w:t>
            </w:r>
            <w:r>
              <w:rPr>
                <w:noProof/>
                <w:webHidden/>
              </w:rPr>
              <w:fldChar w:fldCharType="end"/>
            </w:r>
          </w:hyperlink>
        </w:p>
        <w:p w14:paraId="7CC7E5A2" w14:textId="79174EC3" w:rsidR="00B42A0F" w:rsidRDefault="00B42A0F">
          <w:pPr>
            <w:pStyle w:val="TDC2"/>
            <w:tabs>
              <w:tab w:val="right" w:leader="dot" w:pos="8828"/>
            </w:tabs>
            <w:rPr>
              <w:rFonts w:eastAsiaTheme="minorEastAsia"/>
              <w:noProof/>
              <w:lang w:eastAsia="es-CR"/>
            </w:rPr>
          </w:pPr>
          <w:hyperlink w:anchor="_Toc115779851" w:history="1">
            <w:r w:rsidRPr="006D6A53">
              <w:rPr>
                <w:rStyle w:val="Hipervnculo"/>
                <w:rFonts w:ascii="Arial" w:hAnsi="Arial" w:cs="Arial"/>
                <w:b/>
                <w:bCs/>
                <w:noProof/>
                <w:lang w:val="es-MX"/>
              </w:rPr>
              <w:t>D. INDICADORES</w:t>
            </w:r>
            <w:r>
              <w:rPr>
                <w:noProof/>
                <w:webHidden/>
              </w:rPr>
              <w:tab/>
            </w:r>
            <w:r>
              <w:rPr>
                <w:noProof/>
                <w:webHidden/>
              </w:rPr>
              <w:fldChar w:fldCharType="begin"/>
            </w:r>
            <w:r>
              <w:rPr>
                <w:noProof/>
                <w:webHidden/>
              </w:rPr>
              <w:instrText xml:space="preserve"> PAGEREF _Toc115779851 \h </w:instrText>
            </w:r>
            <w:r>
              <w:rPr>
                <w:noProof/>
                <w:webHidden/>
              </w:rPr>
            </w:r>
            <w:r>
              <w:rPr>
                <w:noProof/>
                <w:webHidden/>
              </w:rPr>
              <w:fldChar w:fldCharType="separate"/>
            </w:r>
            <w:r>
              <w:rPr>
                <w:noProof/>
                <w:webHidden/>
              </w:rPr>
              <w:t>17</w:t>
            </w:r>
            <w:r>
              <w:rPr>
                <w:noProof/>
                <w:webHidden/>
              </w:rPr>
              <w:fldChar w:fldCharType="end"/>
            </w:r>
          </w:hyperlink>
        </w:p>
        <w:p w14:paraId="732156C1" w14:textId="3D14EEE6" w:rsidR="00962832" w:rsidRDefault="00962832">
          <w:r>
            <w:rPr>
              <w:b/>
              <w:bCs/>
              <w:lang w:val="es-ES"/>
            </w:rPr>
            <w:fldChar w:fldCharType="end"/>
          </w:r>
        </w:p>
      </w:sdtContent>
    </w:sdt>
    <w:p w14:paraId="74CE62E8" w14:textId="77777777" w:rsidR="00962832" w:rsidRDefault="00962832" w:rsidP="0012667F">
      <w:pPr>
        <w:tabs>
          <w:tab w:val="left" w:pos="5103"/>
        </w:tabs>
        <w:rPr>
          <w:rFonts w:ascii="Arial" w:hAnsi="Arial" w:cs="Arial"/>
          <w:b/>
          <w:sz w:val="28"/>
          <w:lang w:val="es-MX"/>
        </w:rPr>
      </w:pPr>
    </w:p>
    <w:p w14:paraId="44D40E58" w14:textId="77777777" w:rsidR="00962832" w:rsidRDefault="00962832">
      <w:pPr>
        <w:rPr>
          <w:rFonts w:ascii="Arial" w:hAnsi="Arial" w:cs="Arial"/>
          <w:b/>
          <w:sz w:val="28"/>
          <w:lang w:val="es-MX"/>
        </w:rPr>
      </w:pPr>
      <w:r>
        <w:rPr>
          <w:rFonts w:ascii="Arial" w:hAnsi="Arial" w:cs="Arial"/>
          <w:b/>
          <w:sz w:val="28"/>
          <w:lang w:val="es-MX"/>
        </w:rPr>
        <w:br w:type="page"/>
      </w:r>
    </w:p>
    <w:p w14:paraId="2874D093" w14:textId="2F28CC53" w:rsidR="00962832" w:rsidRPr="00962832" w:rsidRDefault="00962832" w:rsidP="00962832">
      <w:pPr>
        <w:pStyle w:val="Ttulo1"/>
        <w:spacing w:before="321"/>
        <w:rPr>
          <w:rFonts w:ascii="Arial" w:eastAsiaTheme="minorHAnsi" w:hAnsi="Arial" w:cs="Arial"/>
          <w:b/>
          <w:color w:val="auto"/>
          <w:sz w:val="28"/>
          <w:szCs w:val="22"/>
          <w:lang w:val="es-MX"/>
        </w:rPr>
      </w:pPr>
      <w:bookmarkStart w:id="1" w:name="_Toc108014131"/>
      <w:bookmarkStart w:id="2" w:name="_Toc115779845"/>
      <w:r w:rsidRPr="00962832">
        <w:rPr>
          <w:rFonts w:ascii="Arial" w:eastAsiaTheme="minorHAnsi" w:hAnsi="Arial" w:cs="Arial"/>
          <w:b/>
          <w:color w:val="auto"/>
          <w:sz w:val="28"/>
          <w:szCs w:val="22"/>
          <w:lang w:val="es-MX"/>
        </w:rPr>
        <w:lastRenderedPageBreak/>
        <w:t>P</w:t>
      </w:r>
      <w:bookmarkEnd w:id="1"/>
      <w:r w:rsidR="00035E1E">
        <w:rPr>
          <w:rFonts w:ascii="Arial" w:eastAsiaTheme="minorHAnsi" w:hAnsi="Arial" w:cs="Arial"/>
          <w:b/>
          <w:color w:val="auto"/>
          <w:sz w:val="28"/>
          <w:szCs w:val="22"/>
          <w:lang w:val="es-MX"/>
        </w:rPr>
        <w:t>RESENTACIÓN</w:t>
      </w:r>
      <w:bookmarkEnd w:id="2"/>
    </w:p>
    <w:p w14:paraId="24725C1D" w14:textId="77777777" w:rsidR="00962832" w:rsidRPr="007870C9" w:rsidRDefault="00962832" w:rsidP="00962832"/>
    <w:p w14:paraId="52448DAA" w14:textId="6BE87C33" w:rsidR="00962832" w:rsidRPr="00962832" w:rsidRDefault="00962832" w:rsidP="00962832">
      <w:pPr>
        <w:pStyle w:val="Textoindependiente"/>
        <w:spacing w:before="1" w:line="276" w:lineRule="auto"/>
        <w:ind w:left="102" w:right="120"/>
        <w:jc w:val="both"/>
        <w:rPr>
          <w:rFonts w:eastAsiaTheme="minorHAnsi"/>
          <w:szCs w:val="22"/>
          <w:lang w:val="es-MX"/>
        </w:rPr>
      </w:pPr>
      <w:r w:rsidRPr="00962832">
        <w:rPr>
          <w:rFonts w:eastAsiaTheme="minorHAnsi"/>
          <w:szCs w:val="22"/>
          <w:lang w:val="es-MX"/>
        </w:rPr>
        <w:t xml:space="preserve">En acatamiento a lo establecido en artículo 12° del Reglamento al título IV de la ley No. 9635, denominado Responsabilidad Fiscal de la República N°41641-H, para el control y seguimiento de la aplicación de la regla fiscal, se presenta la información presupuestaria correspondiente al tercer trimestre 2022. </w:t>
      </w:r>
    </w:p>
    <w:p w14:paraId="2AFB9763" w14:textId="77777777" w:rsidR="00962832" w:rsidRPr="00962832" w:rsidRDefault="00962832" w:rsidP="00962832">
      <w:pPr>
        <w:pStyle w:val="Textoindependiente"/>
        <w:spacing w:before="1" w:line="276" w:lineRule="auto"/>
        <w:ind w:left="102" w:right="120"/>
        <w:jc w:val="both"/>
        <w:rPr>
          <w:rFonts w:eastAsiaTheme="minorHAnsi"/>
          <w:szCs w:val="22"/>
          <w:lang w:val="es-MX"/>
        </w:rPr>
      </w:pPr>
    </w:p>
    <w:p w14:paraId="10EB88A2" w14:textId="77777777" w:rsidR="00962832" w:rsidRPr="00962832" w:rsidRDefault="00962832" w:rsidP="00962832">
      <w:pPr>
        <w:pStyle w:val="Textoindependiente"/>
        <w:spacing w:before="1" w:line="276" w:lineRule="auto"/>
        <w:ind w:left="102" w:right="120"/>
        <w:jc w:val="both"/>
        <w:rPr>
          <w:rFonts w:eastAsiaTheme="minorHAnsi"/>
          <w:szCs w:val="22"/>
          <w:lang w:val="es-MX"/>
        </w:rPr>
      </w:pPr>
      <w:r w:rsidRPr="00962832">
        <w:rPr>
          <w:rFonts w:eastAsiaTheme="minorHAnsi"/>
          <w:szCs w:val="22"/>
          <w:lang w:val="es-MX"/>
        </w:rPr>
        <w:t>El presupuesto del Benemérito Cuerpo de Bomberos se encuentra alineado con el Plan Estratégico Institucional y considera los elementos establecidos en las diferentes fases del proceso presupuestario de las Normas Técnicas sobre Presupuestos Públicos; se realiza con la participación de todas las unidades en apego preciso a las instrucciones giradas por la Administración Superior, formulando lo rigurosamente necesario para cumplir con las metas establecidas por cada dependencia de acuerdo a los objetivos institucionales y en acatamiento de la Regla Fiscal.</w:t>
      </w:r>
    </w:p>
    <w:p w14:paraId="36E57642" w14:textId="77777777" w:rsidR="00962832" w:rsidRDefault="00962832" w:rsidP="00962832">
      <w:pPr>
        <w:pStyle w:val="Textoindependiente"/>
        <w:spacing w:before="1" w:line="276" w:lineRule="auto"/>
        <w:ind w:left="102" w:right="120"/>
        <w:jc w:val="both"/>
      </w:pPr>
    </w:p>
    <w:p w14:paraId="618ED944" w14:textId="77777777" w:rsidR="00962832" w:rsidRDefault="00962832" w:rsidP="0012667F">
      <w:pPr>
        <w:tabs>
          <w:tab w:val="left" w:pos="5103"/>
        </w:tabs>
        <w:rPr>
          <w:rFonts w:ascii="Arial" w:eastAsia="Arial" w:hAnsi="Arial" w:cs="Arial"/>
          <w:sz w:val="24"/>
          <w:szCs w:val="24"/>
          <w:lang w:val="es-ES"/>
        </w:rPr>
      </w:pPr>
    </w:p>
    <w:p w14:paraId="58D49591" w14:textId="77777777" w:rsidR="00962832" w:rsidRDefault="00962832" w:rsidP="0012667F">
      <w:pPr>
        <w:tabs>
          <w:tab w:val="left" w:pos="5103"/>
        </w:tabs>
        <w:rPr>
          <w:rFonts w:ascii="Arial" w:eastAsia="Arial" w:hAnsi="Arial" w:cs="Arial"/>
          <w:sz w:val="24"/>
          <w:szCs w:val="24"/>
          <w:lang w:val="es-ES"/>
        </w:rPr>
      </w:pPr>
    </w:p>
    <w:p w14:paraId="754D3237" w14:textId="77777777" w:rsidR="00962832" w:rsidRDefault="00962832" w:rsidP="0012667F">
      <w:pPr>
        <w:tabs>
          <w:tab w:val="left" w:pos="5103"/>
        </w:tabs>
        <w:rPr>
          <w:rFonts w:ascii="Arial" w:eastAsia="Arial" w:hAnsi="Arial" w:cs="Arial"/>
          <w:sz w:val="24"/>
          <w:szCs w:val="24"/>
          <w:lang w:val="es-ES"/>
        </w:rPr>
      </w:pPr>
    </w:p>
    <w:p w14:paraId="7E91244D" w14:textId="77777777" w:rsidR="00962832" w:rsidRDefault="00962832" w:rsidP="0012667F">
      <w:pPr>
        <w:tabs>
          <w:tab w:val="left" w:pos="5103"/>
        </w:tabs>
        <w:rPr>
          <w:rFonts w:ascii="Arial" w:eastAsia="Arial" w:hAnsi="Arial" w:cs="Arial"/>
          <w:sz w:val="24"/>
          <w:szCs w:val="24"/>
          <w:lang w:val="es-ES"/>
        </w:rPr>
      </w:pPr>
    </w:p>
    <w:p w14:paraId="7984A75E" w14:textId="77777777" w:rsidR="00962832" w:rsidRDefault="00962832" w:rsidP="0012667F">
      <w:pPr>
        <w:tabs>
          <w:tab w:val="left" w:pos="5103"/>
        </w:tabs>
        <w:rPr>
          <w:rFonts w:ascii="Arial" w:eastAsia="Arial" w:hAnsi="Arial" w:cs="Arial"/>
          <w:sz w:val="24"/>
          <w:szCs w:val="24"/>
          <w:lang w:val="es-ES"/>
        </w:rPr>
      </w:pPr>
    </w:p>
    <w:p w14:paraId="6893A371" w14:textId="77777777" w:rsidR="00962832" w:rsidRDefault="00962832" w:rsidP="0012667F">
      <w:pPr>
        <w:tabs>
          <w:tab w:val="left" w:pos="5103"/>
        </w:tabs>
        <w:rPr>
          <w:rFonts w:ascii="Arial" w:eastAsia="Arial" w:hAnsi="Arial" w:cs="Arial"/>
          <w:sz w:val="24"/>
          <w:szCs w:val="24"/>
          <w:lang w:val="es-ES"/>
        </w:rPr>
      </w:pPr>
    </w:p>
    <w:p w14:paraId="1A401080" w14:textId="77777777" w:rsidR="00962832" w:rsidRDefault="00962832" w:rsidP="0012667F">
      <w:pPr>
        <w:tabs>
          <w:tab w:val="left" w:pos="5103"/>
        </w:tabs>
        <w:rPr>
          <w:rFonts w:ascii="Arial" w:eastAsia="Arial" w:hAnsi="Arial" w:cs="Arial"/>
          <w:sz w:val="24"/>
          <w:szCs w:val="24"/>
          <w:lang w:val="es-ES"/>
        </w:rPr>
      </w:pPr>
    </w:p>
    <w:p w14:paraId="0C51C995" w14:textId="77777777" w:rsidR="00962832" w:rsidRDefault="00962832" w:rsidP="0012667F">
      <w:pPr>
        <w:tabs>
          <w:tab w:val="left" w:pos="5103"/>
        </w:tabs>
        <w:rPr>
          <w:rFonts w:ascii="Arial" w:eastAsia="Arial" w:hAnsi="Arial" w:cs="Arial"/>
          <w:sz w:val="24"/>
          <w:szCs w:val="24"/>
          <w:lang w:val="es-ES"/>
        </w:rPr>
      </w:pPr>
    </w:p>
    <w:p w14:paraId="2D1098AA" w14:textId="77777777" w:rsidR="00962832" w:rsidRDefault="00962832" w:rsidP="0012667F">
      <w:pPr>
        <w:tabs>
          <w:tab w:val="left" w:pos="5103"/>
        </w:tabs>
        <w:rPr>
          <w:rFonts w:ascii="Arial" w:eastAsia="Arial" w:hAnsi="Arial" w:cs="Arial"/>
          <w:sz w:val="24"/>
          <w:szCs w:val="24"/>
          <w:lang w:val="es-ES"/>
        </w:rPr>
      </w:pPr>
    </w:p>
    <w:p w14:paraId="31BE2879" w14:textId="77777777" w:rsidR="00962832" w:rsidRDefault="00962832" w:rsidP="0012667F">
      <w:pPr>
        <w:tabs>
          <w:tab w:val="left" w:pos="5103"/>
        </w:tabs>
        <w:rPr>
          <w:rFonts w:ascii="Arial" w:eastAsia="Arial" w:hAnsi="Arial" w:cs="Arial"/>
          <w:sz w:val="24"/>
          <w:szCs w:val="24"/>
          <w:lang w:val="es-ES"/>
        </w:rPr>
      </w:pPr>
    </w:p>
    <w:p w14:paraId="55819D71" w14:textId="77777777" w:rsidR="00962832" w:rsidRDefault="00962832" w:rsidP="0012667F">
      <w:pPr>
        <w:tabs>
          <w:tab w:val="left" w:pos="5103"/>
        </w:tabs>
        <w:rPr>
          <w:rFonts w:ascii="Arial" w:eastAsia="Arial" w:hAnsi="Arial" w:cs="Arial"/>
          <w:sz w:val="24"/>
          <w:szCs w:val="24"/>
          <w:lang w:val="es-ES"/>
        </w:rPr>
      </w:pPr>
    </w:p>
    <w:p w14:paraId="5616383E" w14:textId="77777777" w:rsidR="00962832" w:rsidRDefault="00962832" w:rsidP="0012667F">
      <w:pPr>
        <w:tabs>
          <w:tab w:val="left" w:pos="5103"/>
        </w:tabs>
        <w:rPr>
          <w:rFonts w:ascii="Arial" w:eastAsia="Arial" w:hAnsi="Arial" w:cs="Arial"/>
          <w:sz w:val="24"/>
          <w:szCs w:val="24"/>
          <w:lang w:val="es-ES"/>
        </w:rPr>
      </w:pPr>
    </w:p>
    <w:p w14:paraId="03A0BDF1" w14:textId="77777777" w:rsidR="00962832" w:rsidRDefault="00962832" w:rsidP="0012667F">
      <w:pPr>
        <w:tabs>
          <w:tab w:val="left" w:pos="5103"/>
        </w:tabs>
        <w:rPr>
          <w:rFonts w:ascii="Arial" w:eastAsia="Arial" w:hAnsi="Arial" w:cs="Arial"/>
          <w:sz w:val="24"/>
          <w:szCs w:val="24"/>
          <w:lang w:val="es-ES"/>
        </w:rPr>
      </w:pPr>
    </w:p>
    <w:p w14:paraId="431CE9C0" w14:textId="77777777" w:rsidR="00962832" w:rsidRDefault="00962832" w:rsidP="0012667F">
      <w:pPr>
        <w:tabs>
          <w:tab w:val="left" w:pos="5103"/>
        </w:tabs>
        <w:rPr>
          <w:rFonts w:ascii="Arial" w:eastAsia="Arial" w:hAnsi="Arial" w:cs="Arial"/>
          <w:sz w:val="24"/>
          <w:szCs w:val="24"/>
          <w:lang w:val="es-ES"/>
        </w:rPr>
      </w:pPr>
    </w:p>
    <w:p w14:paraId="0560BFE1" w14:textId="77777777" w:rsidR="00962832" w:rsidRDefault="00962832" w:rsidP="0012667F">
      <w:pPr>
        <w:tabs>
          <w:tab w:val="left" w:pos="5103"/>
        </w:tabs>
        <w:rPr>
          <w:rFonts w:ascii="Arial" w:eastAsia="Arial" w:hAnsi="Arial" w:cs="Arial"/>
          <w:sz w:val="24"/>
          <w:szCs w:val="24"/>
          <w:lang w:val="es-ES"/>
        </w:rPr>
      </w:pPr>
    </w:p>
    <w:p w14:paraId="060C22D0" w14:textId="77777777" w:rsidR="00962832" w:rsidRDefault="00962832" w:rsidP="0012667F">
      <w:pPr>
        <w:tabs>
          <w:tab w:val="left" w:pos="5103"/>
        </w:tabs>
        <w:rPr>
          <w:rFonts w:ascii="Arial" w:eastAsia="Arial" w:hAnsi="Arial" w:cs="Arial"/>
          <w:sz w:val="24"/>
          <w:szCs w:val="24"/>
          <w:lang w:val="es-ES"/>
        </w:rPr>
      </w:pPr>
    </w:p>
    <w:p w14:paraId="0D911F23" w14:textId="77777777" w:rsidR="00962832" w:rsidRDefault="00962832" w:rsidP="0012667F">
      <w:pPr>
        <w:tabs>
          <w:tab w:val="left" w:pos="5103"/>
        </w:tabs>
        <w:rPr>
          <w:rFonts w:ascii="Arial" w:eastAsia="Arial" w:hAnsi="Arial" w:cs="Arial"/>
          <w:sz w:val="24"/>
          <w:szCs w:val="24"/>
          <w:lang w:val="es-ES"/>
        </w:rPr>
      </w:pPr>
    </w:p>
    <w:p w14:paraId="106E9C1C" w14:textId="6B62F12E" w:rsidR="00A13E8B" w:rsidRPr="00962832" w:rsidRDefault="00E85478" w:rsidP="00962832">
      <w:pPr>
        <w:pStyle w:val="Ttulo1"/>
        <w:rPr>
          <w:rFonts w:ascii="Arial" w:hAnsi="Arial" w:cs="Arial"/>
          <w:b/>
          <w:bCs/>
          <w:color w:val="000000" w:themeColor="text1"/>
          <w:lang w:val="es-MX"/>
        </w:rPr>
      </w:pPr>
      <w:bookmarkStart w:id="3" w:name="_Toc115779846"/>
      <w:r w:rsidRPr="00962832">
        <w:rPr>
          <w:rFonts w:ascii="Arial" w:hAnsi="Arial" w:cs="Arial"/>
          <w:b/>
          <w:bCs/>
          <w:color w:val="000000" w:themeColor="text1"/>
          <w:lang w:val="es-MX"/>
        </w:rPr>
        <w:lastRenderedPageBreak/>
        <w:t>I PRESUPUESTACIÓN AC</w:t>
      </w:r>
      <w:r w:rsidR="00E92227">
        <w:rPr>
          <w:rFonts w:ascii="Arial" w:hAnsi="Arial" w:cs="Arial"/>
          <w:b/>
          <w:bCs/>
          <w:color w:val="000000" w:themeColor="text1"/>
          <w:lang w:val="es-MX"/>
        </w:rPr>
        <w:t>T</w:t>
      </w:r>
      <w:r w:rsidRPr="00962832">
        <w:rPr>
          <w:rFonts w:ascii="Arial" w:hAnsi="Arial" w:cs="Arial"/>
          <w:b/>
          <w:bCs/>
          <w:color w:val="000000" w:themeColor="text1"/>
          <w:lang w:val="es-MX"/>
        </w:rPr>
        <w:t>UAL</w:t>
      </w:r>
      <w:bookmarkEnd w:id="3"/>
    </w:p>
    <w:p w14:paraId="5C245CF2" w14:textId="77777777" w:rsidR="00852B4E" w:rsidRDefault="00852B4E" w:rsidP="002063E4">
      <w:pPr>
        <w:jc w:val="both"/>
        <w:rPr>
          <w:rFonts w:ascii="Arial" w:hAnsi="Arial" w:cs="Arial"/>
          <w:sz w:val="24"/>
          <w:lang w:val="es-MX"/>
        </w:rPr>
      </w:pPr>
    </w:p>
    <w:p w14:paraId="7E67891A" w14:textId="1D6B83F3" w:rsidR="002063E4" w:rsidRDefault="00E85478" w:rsidP="002063E4">
      <w:pPr>
        <w:jc w:val="both"/>
        <w:rPr>
          <w:rFonts w:ascii="Arial" w:hAnsi="Arial" w:cs="Arial"/>
          <w:sz w:val="24"/>
          <w:lang w:val="es-MX"/>
        </w:rPr>
      </w:pPr>
      <w:r w:rsidRPr="00E85478">
        <w:rPr>
          <w:rFonts w:ascii="Arial" w:hAnsi="Arial" w:cs="Arial"/>
          <w:sz w:val="24"/>
          <w:lang w:val="es-MX"/>
        </w:rPr>
        <w:t xml:space="preserve">El presupuesto del Benemérito Cuerpo de Bomberos de Costa Rica del año </w:t>
      </w:r>
      <w:r w:rsidR="00962832" w:rsidRPr="00E85478">
        <w:rPr>
          <w:rFonts w:ascii="Arial" w:hAnsi="Arial" w:cs="Arial"/>
          <w:sz w:val="24"/>
          <w:lang w:val="es-MX"/>
        </w:rPr>
        <w:t>2022</w:t>
      </w:r>
      <w:r w:rsidRPr="00E85478">
        <w:rPr>
          <w:rFonts w:ascii="Arial" w:hAnsi="Arial" w:cs="Arial"/>
          <w:sz w:val="24"/>
          <w:lang w:val="es-MX"/>
        </w:rPr>
        <w:t xml:space="preserve"> asciende a ¢44.</w:t>
      </w:r>
      <w:r w:rsidR="002063E4">
        <w:rPr>
          <w:rFonts w:ascii="Arial" w:hAnsi="Arial" w:cs="Arial"/>
          <w:sz w:val="24"/>
          <w:lang w:val="es-MX"/>
        </w:rPr>
        <w:t>877 millones</w:t>
      </w:r>
      <w:r w:rsidR="00B42A0F">
        <w:rPr>
          <w:rFonts w:ascii="Arial" w:hAnsi="Arial" w:cs="Arial"/>
          <w:sz w:val="24"/>
          <w:lang w:val="es-MX"/>
        </w:rPr>
        <w:t xml:space="preserve"> de colones, de los cuales se llevan ejecutados al 30 de septiembre 2022 un total de ¢36.409 millones de colones.</w:t>
      </w:r>
    </w:p>
    <w:p w14:paraId="6503ADB8" w14:textId="2F0D98EA" w:rsidR="00F6285B" w:rsidRDefault="00F6285B" w:rsidP="002063E4">
      <w:pPr>
        <w:jc w:val="both"/>
        <w:rPr>
          <w:rFonts w:ascii="Arial" w:hAnsi="Arial" w:cs="Arial"/>
          <w:sz w:val="24"/>
          <w:lang w:val="es-MX"/>
        </w:rPr>
      </w:pPr>
    </w:p>
    <w:p w14:paraId="592C4EAC" w14:textId="1297E76E" w:rsidR="007A10A4" w:rsidRDefault="00B42A0F" w:rsidP="002063E4">
      <w:pPr>
        <w:jc w:val="both"/>
        <w:rPr>
          <w:rFonts w:ascii="Arial" w:hAnsi="Arial" w:cs="Arial"/>
          <w:sz w:val="24"/>
          <w:lang w:val="es-MX"/>
        </w:rPr>
      </w:pPr>
      <w:r w:rsidRPr="00B42A0F">
        <w:drawing>
          <wp:inline distT="0" distB="0" distL="0" distR="0" wp14:anchorId="2CF20370" wp14:editId="69050B6B">
            <wp:extent cx="5612130" cy="5518595"/>
            <wp:effectExtent l="0" t="0" r="762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5518595"/>
                    </a:xfrm>
                    <a:prstGeom prst="rect">
                      <a:avLst/>
                    </a:prstGeom>
                    <a:noFill/>
                    <a:ln>
                      <a:noFill/>
                    </a:ln>
                  </pic:spPr>
                </pic:pic>
              </a:graphicData>
            </a:graphic>
          </wp:inline>
        </w:drawing>
      </w:r>
    </w:p>
    <w:p w14:paraId="597DE859" w14:textId="77777777" w:rsidR="00F6285B" w:rsidRDefault="00F6285B" w:rsidP="00064E96">
      <w:pPr>
        <w:jc w:val="both"/>
        <w:rPr>
          <w:sz w:val="20"/>
          <w:lang w:val="es-MX"/>
        </w:rPr>
      </w:pPr>
    </w:p>
    <w:p w14:paraId="1748A654" w14:textId="78CA2B74" w:rsidR="0024751C" w:rsidRDefault="00AA0B26" w:rsidP="00064E96">
      <w:pPr>
        <w:jc w:val="both"/>
      </w:pPr>
      <w:r w:rsidRPr="00F6285B">
        <w:rPr>
          <w:b/>
          <w:sz w:val="20"/>
          <w:lang w:val="es-MX"/>
        </w:rPr>
        <w:t>Fuente: Área de Gestión de Recursos Económicos</w:t>
      </w:r>
      <w:r w:rsidR="00E85478">
        <w:rPr>
          <w:b/>
          <w:lang w:val="es-MX"/>
        </w:rPr>
        <w:fldChar w:fldCharType="begin"/>
      </w:r>
      <w:r w:rsidR="00E85478" w:rsidRPr="00F6285B">
        <w:rPr>
          <w:b/>
          <w:lang w:val="es-MX"/>
        </w:rPr>
        <w:instrText xml:space="preserve"> LINK </w:instrText>
      </w:r>
      <w:r w:rsidR="0024751C">
        <w:rPr>
          <w:b/>
          <w:lang w:val="es-MX"/>
        </w:rPr>
        <w:instrText xml:space="preserve">Excel.Sheet.12 F:\\2022\\Reporte.xlsx Hoja1!F4C9:F32C15 </w:instrText>
      </w:r>
      <w:r w:rsidR="00E85478" w:rsidRPr="00F6285B">
        <w:rPr>
          <w:b/>
          <w:lang w:val="es-MX"/>
        </w:rPr>
        <w:instrText xml:space="preserve">\a \f 4 \h </w:instrText>
      </w:r>
      <w:r w:rsidR="0024751C">
        <w:rPr>
          <w:b/>
          <w:lang w:val="es-MX"/>
        </w:rPr>
        <w:instrText xml:space="preserve"> \* MERGEFORMAT </w:instrText>
      </w:r>
      <w:r w:rsidR="00E85478">
        <w:rPr>
          <w:b/>
          <w:lang w:val="es-MX"/>
        </w:rPr>
        <w:fldChar w:fldCharType="separate"/>
      </w:r>
    </w:p>
    <w:p w14:paraId="2A6658CA" w14:textId="7CA59F0A" w:rsidR="00AA0B26" w:rsidRDefault="00E85478" w:rsidP="00064E96">
      <w:pPr>
        <w:jc w:val="both"/>
        <w:rPr>
          <w:rFonts w:ascii="Arial" w:hAnsi="Arial" w:cs="Arial"/>
          <w:sz w:val="24"/>
          <w:lang w:val="es-MX"/>
        </w:rPr>
      </w:pPr>
      <w:r>
        <w:rPr>
          <w:rFonts w:ascii="Arial" w:hAnsi="Arial" w:cs="Arial"/>
          <w:sz w:val="24"/>
          <w:lang w:val="es-MX"/>
        </w:rPr>
        <w:fldChar w:fldCharType="end"/>
      </w:r>
    </w:p>
    <w:p w14:paraId="22645E96" w14:textId="77777777" w:rsidR="0024751C" w:rsidRDefault="0024751C" w:rsidP="00AA0B26">
      <w:pPr>
        <w:jc w:val="both"/>
        <w:rPr>
          <w:rFonts w:ascii="Arial" w:hAnsi="Arial" w:cs="Arial"/>
          <w:sz w:val="24"/>
          <w:lang w:val="es-MX"/>
        </w:rPr>
      </w:pPr>
    </w:p>
    <w:p w14:paraId="6EDD801B" w14:textId="77777777" w:rsidR="0024751C" w:rsidRDefault="0024751C" w:rsidP="00AA0B26">
      <w:pPr>
        <w:jc w:val="both"/>
        <w:rPr>
          <w:rFonts w:ascii="Arial" w:hAnsi="Arial" w:cs="Arial"/>
          <w:sz w:val="24"/>
          <w:lang w:val="es-MX"/>
        </w:rPr>
      </w:pPr>
    </w:p>
    <w:p w14:paraId="336918DF" w14:textId="2B3AF598" w:rsidR="00E85478" w:rsidRDefault="00064E96" w:rsidP="00AA0B26">
      <w:pPr>
        <w:jc w:val="both"/>
        <w:rPr>
          <w:rFonts w:ascii="Arial" w:hAnsi="Arial" w:cs="Arial"/>
          <w:sz w:val="24"/>
          <w:lang w:val="es-MX"/>
        </w:rPr>
      </w:pPr>
      <w:r>
        <w:rPr>
          <w:rFonts w:ascii="Arial" w:hAnsi="Arial" w:cs="Arial"/>
          <w:sz w:val="24"/>
          <w:lang w:val="es-MX"/>
        </w:rPr>
        <w:t>La mayor proporción de los recursos que</w:t>
      </w:r>
      <w:r w:rsidR="00F95211">
        <w:rPr>
          <w:rFonts w:ascii="Arial" w:hAnsi="Arial" w:cs="Arial"/>
          <w:sz w:val="24"/>
          <w:lang w:val="es-MX"/>
        </w:rPr>
        <w:t xml:space="preserve"> ingresan a la institución </w:t>
      </w:r>
      <w:r>
        <w:rPr>
          <w:rFonts w:ascii="Arial" w:hAnsi="Arial" w:cs="Arial"/>
          <w:sz w:val="24"/>
          <w:lang w:val="es-MX"/>
        </w:rPr>
        <w:t>proviene</w:t>
      </w:r>
      <w:r w:rsidR="00F95211">
        <w:rPr>
          <w:rFonts w:ascii="Arial" w:hAnsi="Arial" w:cs="Arial"/>
          <w:sz w:val="24"/>
          <w:lang w:val="es-MX"/>
        </w:rPr>
        <w:t>n</w:t>
      </w:r>
      <w:r>
        <w:rPr>
          <w:rFonts w:ascii="Arial" w:hAnsi="Arial" w:cs="Arial"/>
          <w:sz w:val="24"/>
          <w:lang w:val="es-MX"/>
        </w:rPr>
        <w:t xml:space="preserve"> de la cuenta Transferencias corrientes, en la que se incorporan los recursos relacionados con el aporte del 4% de las ventas de las primas de seguros vendidas en todo el país.  Específicamente, para el periodo 2022, esta </w:t>
      </w:r>
      <w:r w:rsidR="004D1F30">
        <w:rPr>
          <w:rFonts w:ascii="Arial" w:hAnsi="Arial" w:cs="Arial"/>
          <w:sz w:val="24"/>
          <w:lang w:val="es-MX"/>
        </w:rPr>
        <w:t>subpartida</w:t>
      </w:r>
      <w:r>
        <w:rPr>
          <w:rFonts w:ascii="Arial" w:hAnsi="Arial" w:cs="Arial"/>
          <w:sz w:val="24"/>
          <w:lang w:val="es-MX"/>
        </w:rPr>
        <w:t xml:space="preserve"> re</w:t>
      </w:r>
      <w:r w:rsidR="00187B10">
        <w:rPr>
          <w:rFonts w:ascii="Arial" w:hAnsi="Arial" w:cs="Arial"/>
          <w:sz w:val="24"/>
          <w:lang w:val="es-MX"/>
        </w:rPr>
        <w:t>presenta el 7</w:t>
      </w:r>
      <w:r w:rsidR="00F95211">
        <w:rPr>
          <w:rFonts w:ascii="Arial" w:hAnsi="Arial" w:cs="Arial"/>
          <w:sz w:val="24"/>
          <w:lang w:val="es-MX"/>
        </w:rPr>
        <w:t>7</w:t>
      </w:r>
      <w:r w:rsidR="00187B10">
        <w:rPr>
          <w:rFonts w:ascii="Arial" w:hAnsi="Arial" w:cs="Arial"/>
          <w:sz w:val="24"/>
          <w:lang w:val="es-MX"/>
        </w:rPr>
        <w:t>% del total de presupuesto de</w:t>
      </w:r>
      <w:r>
        <w:rPr>
          <w:rFonts w:ascii="Arial" w:hAnsi="Arial" w:cs="Arial"/>
          <w:sz w:val="24"/>
          <w:lang w:val="es-MX"/>
        </w:rPr>
        <w:t xml:space="preserve"> ingresos</w:t>
      </w:r>
      <w:r w:rsidR="00187B10">
        <w:rPr>
          <w:rFonts w:ascii="Arial" w:hAnsi="Arial" w:cs="Arial"/>
          <w:sz w:val="24"/>
          <w:lang w:val="es-MX"/>
        </w:rPr>
        <w:t xml:space="preserve"> de la institución, como se observa en el cuadro No.1</w:t>
      </w:r>
      <w:r w:rsidR="00255E75">
        <w:rPr>
          <w:rFonts w:ascii="Arial" w:hAnsi="Arial" w:cs="Arial"/>
          <w:sz w:val="24"/>
          <w:lang w:val="es-MX"/>
        </w:rPr>
        <w:t>, los cuales el 50% provienen de la transferencia que realiza el Instituto Nacional de Seguros.</w:t>
      </w:r>
    </w:p>
    <w:p w14:paraId="61EBF488" w14:textId="0FEC824B" w:rsidR="00187B10" w:rsidRDefault="00816F65" w:rsidP="00AA0B26">
      <w:pPr>
        <w:jc w:val="both"/>
        <w:rPr>
          <w:rFonts w:ascii="Arial" w:hAnsi="Arial" w:cs="Arial"/>
          <w:sz w:val="24"/>
          <w:lang w:val="es-MX"/>
        </w:rPr>
      </w:pPr>
      <w:r>
        <w:rPr>
          <w:rFonts w:ascii="Arial" w:hAnsi="Arial" w:cs="Arial"/>
          <w:sz w:val="24"/>
          <w:lang w:val="es-MX"/>
        </w:rPr>
        <w:t>Es importante indicar que el aumento reflejado en el año 2020 con respecto al año 2019 específicamente en los Ingresos tributarios y en las Transferencias corrientes obedece a que e</w:t>
      </w:r>
      <w:r w:rsidR="00F95211">
        <w:rPr>
          <w:rFonts w:ascii="Arial" w:hAnsi="Arial" w:cs="Arial"/>
          <w:sz w:val="24"/>
          <w:lang w:val="es-MX"/>
        </w:rPr>
        <w:t>n el año 2020</w:t>
      </w:r>
      <w:r>
        <w:rPr>
          <w:rFonts w:ascii="Arial" w:hAnsi="Arial" w:cs="Arial"/>
          <w:sz w:val="24"/>
          <w:lang w:val="es-MX"/>
        </w:rPr>
        <w:t xml:space="preserve"> se realizó el cambio en el registro de los ingresos pasando de base efectivo a devengo.</w:t>
      </w:r>
    </w:p>
    <w:p w14:paraId="546047FF" w14:textId="7ABE5897" w:rsidR="00255E75" w:rsidRDefault="00255E75" w:rsidP="00AA0B26">
      <w:pPr>
        <w:jc w:val="both"/>
        <w:rPr>
          <w:rFonts w:ascii="Arial" w:hAnsi="Arial" w:cs="Arial"/>
          <w:sz w:val="24"/>
          <w:lang w:val="es-MX"/>
        </w:rPr>
      </w:pPr>
      <w:r>
        <w:rPr>
          <w:rFonts w:ascii="Arial" w:hAnsi="Arial" w:cs="Arial"/>
          <w:sz w:val="24"/>
          <w:lang w:val="es-MX"/>
        </w:rPr>
        <w:t xml:space="preserve">Para la partida de Financiamiento, es relevante explicar que corresponde al resultado de los recursos del Superávit anualmente, los cuales deben de ser incorporados en el presupuesto de ingresos, según lo que las Normas Técnicas de Presupuestos Públicos establecen. </w:t>
      </w:r>
    </w:p>
    <w:p w14:paraId="3410F739" w14:textId="77777777" w:rsidR="00816F65" w:rsidRDefault="00F21280" w:rsidP="00AA0B26">
      <w:pPr>
        <w:jc w:val="both"/>
        <w:rPr>
          <w:rFonts w:ascii="Arial" w:hAnsi="Arial" w:cs="Arial"/>
          <w:sz w:val="24"/>
          <w:lang w:val="es-MX"/>
        </w:rPr>
      </w:pPr>
      <w:r>
        <w:rPr>
          <w:rFonts w:ascii="Arial" w:hAnsi="Arial" w:cs="Arial"/>
          <w:sz w:val="24"/>
          <w:lang w:val="es-MX"/>
        </w:rPr>
        <w:t xml:space="preserve">En el caso de los </w:t>
      </w:r>
      <w:r w:rsidR="00C44B82">
        <w:rPr>
          <w:rFonts w:ascii="Arial" w:hAnsi="Arial" w:cs="Arial"/>
          <w:sz w:val="24"/>
          <w:lang w:val="es-MX"/>
        </w:rPr>
        <w:t>egresos, durante</w:t>
      </w:r>
      <w:r>
        <w:rPr>
          <w:rFonts w:ascii="Arial" w:hAnsi="Arial" w:cs="Arial"/>
          <w:sz w:val="24"/>
          <w:lang w:val="es-MX"/>
        </w:rPr>
        <w:t xml:space="preserve"> el periodo 2019-2022 las </w:t>
      </w:r>
      <w:r w:rsidR="00C44B82">
        <w:rPr>
          <w:rFonts w:ascii="Arial" w:hAnsi="Arial" w:cs="Arial"/>
          <w:sz w:val="24"/>
          <w:lang w:val="es-MX"/>
        </w:rPr>
        <w:t>partidas de</w:t>
      </w:r>
      <w:r>
        <w:rPr>
          <w:rFonts w:ascii="Arial" w:hAnsi="Arial" w:cs="Arial"/>
          <w:sz w:val="24"/>
          <w:lang w:val="es-MX"/>
        </w:rPr>
        <w:t xml:space="preserve"> mayor importancia en el presupuesto del Cuerpo de Bomberos son las de Remu</w:t>
      </w:r>
      <w:r w:rsidR="00C44B82">
        <w:rPr>
          <w:rFonts w:ascii="Arial" w:hAnsi="Arial" w:cs="Arial"/>
          <w:sz w:val="24"/>
          <w:lang w:val="es-MX"/>
        </w:rPr>
        <w:t>neraciones, Servicios, Bienes Duraderos y Transferencias de Capital.</w:t>
      </w:r>
    </w:p>
    <w:p w14:paraId="09E91C2E" w14:textId="5431B818" w:rsidR="00C44B82" w:rsidRDefault="00C44B82" w:rsidP="00064E96">
      <w:pPr>
        <w:jc w:val="both"/>
        <w:rPr>
          <w:rFonts w:ascii="Arial" w:hAnsi="Arial" w:cs="Arial"/>
          <w:sz w:val="24"/>
          <w:lang w:val="es-MX"/>
        </w:rPr>
      </w:pPr>
      <w:r>
        <w:rPr>
          <w:noProof/>
          <w:lang w:eastAsia="es-CR"/>
        </w:rPr>
        <w:drawing>
          <wp:anchor distT="0" distB="0" distL="114300" distR="114300" simplePos="0" relativeHeight="251658240" behindDoc="1" locked="0" layoutInCell="1" allowOverlap="1" wp14:anchorId="06E575FD" wp14:editId="127057C0">
            <wp:simplePos x="0" y="0"/>
            <wp:positionH relativeFrom="column">
              <wp:posOffset>900430</wp:posOffset>
            </wp:positionH>
            <wp:positionV relativeFrom="paragraph">
              <wp:posOffset>12065</wp:posOffset>
            </wp:positionV>
            <wp:extent cx="4124325" cy="3362325"/>
            <wp:effectExtent l="0" t="0" r="0" b="0"/>
            <wp:wrapTight wrapText="bothSides">
              <wp:wrapPolygon edited="0">
                <wp:start x="0" y="0"/>
                <wp:lineTo x="0" y="21416"/>
                <wp:lineTo x="21450" y="21416"/>
                <wp:lineTo x="21450" y="0"/>
                <wp:lineTo x="0" y="0"/>
              </wp:wrapPolygon>
            </wp:wrapTight>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14:paraId="4EEAB55A" w14:textId="77777777" w:rsidR="00C44B82" w:rsidRDefault="00C44B82" w:rsidP="00064E96">
      <w:pPr>
        <w:jc w:val="both"/>
        <w:rPr>
          <w:rFonts w:ascii="Arial" w:hAnsi="Arial" w:cs="Arial"/>
          <w:sz w:val="24"/>
          <w:lang w:val="es-MX"/>
        </w:rPr>
      </w:pPr>
    </w:p>
    <w:p w14:paraId="1D3C10B8" w14:textId="77777777" w:rsidR="00C44B82" w:rsidRDefault="00C44B82" w:rsidP="00064E96">
      <w:pPr>
        <w:jc w:val="both"/>
        <w:rPr>
          <w:rFonts w:ascii="Arial" w:hAnsi="Arial" w:cs="Arial"/>
          <w:sz w:val="24"/>
          <w:lang w:val="es-MX"/>
        </w:rPr>
      </w:pPr>
    </w:p>
    <w:p w14:paraId="245A2036" w14:textId="77777777" w:rsidR="00C44B82" w:rsidRDefault="00C44B82" w:rsidP="00064E96">
      <w:pPr>
        <w:jc w:val="both"/>
        <w:rPr>
          <w:rFonts w:ascii="Arial" w:hAnsi="Arial" w:cs="Arial"/>
          <w:sz w:val="24"/>
          <w:lang w:val="es-MX"/>
        </w:rPr>
      </w:pPr>
    </w:p>
    <w:p w14:paraId="30928864" w14:textId="77777777" w:rsidR="00C44B82" w:rsidRDefault="00C44B82" w:rsidP="00064E96">
      <w:pPr>
        <w:jc w:val="both"/>
        <w:rPr>
          <w:rFonts w:ascii="Arial" w:hAnsi="Arial" w:cs="Arial"/>
          <w:sz w:val="24"/>
          <w:lang w:val="es-MX"/>
        </w:rPr>
      </w:pPr>
    </w:p>
    <w:p w14:paraId="008736D4" w14:textId="77777777" w:rsidR="00C44B82" w:rsidRDefault="00C44B82" w:rsidP="00064E96">
      <w:pPr>
        <w:jc w:val="both"/>
        <w:rPr>
          <w:rFonts w:ascii="Arial" w:hAnsi="Arial" w:cs="Arial"/>
          <w:sz w:val="24"/>
          <w:lang w:val="es-MX"/>
        </w:rPr>
      </w:pPr>
    </w:p>
    <w:p w14:paraId="5E4F15F7" w14:textId="77777777" w:rsidR="00C44B82" w:rsidRDefault="00C44B82" w:rsidP="00064E96">
      <w:pPr>
        <w:jc w:val="both"/>
        <w:rPr>
          <w:rFonts w:ascii="Arial" w:hAnsi="Arial" w:cs="Arial"/>
          <w:sz w:val="24"/>
          <w:lang w:val="es-MX"/>
        </w:rPr>
      </w:pPr>
    </w:p>
    <w:p w14:paraId="1B0A925B" w14:textId="77777777" w:rsidR="00C44B82" w:rsidRDefault="00C44B82" w:rsidP="00064E96">
      <w:pPr>
        <w:jc w:val="both"/>
        <w:rPr>
          <w:rFonts w:ascii="Arial" w:hAnsi="Arial" w:cs="Arial"/>
          <w:sz w:val="24"/>
          <w:lang w:val="es-MX"/>
        </w:rPr>
      </w:pPr>
    </w:p>
    <w:p w14:paraId="7F9D6208" w14:textId="77777777" w:rsidR="00C44B82" w:rsidRDefault="00C44B82" w:rsidP="00064E96">
      <w:pPr>
        <w:jc w:val="both"/>
        <w:rPr>
          <w:rFonts w:ascii="Arial" w:hAnsi="Arial" w:cs="Arial"/>
          <w:sz w:val="24"/>
          <w:lang w:val="es-MX"/>
        </w:rPr>
      </w:pPr>
    </w:p>
    <w:p w14:paraId="53C6B6DB" w14:textId="77777777" w:rsidR="00C44B82" w:rsidRDefault="00C44B82" w:rsidP="00064E96">
      <w:pPr>
        <w:jc w:val="both"/>
        <w:rPr>
          <w:rFonts w:ascii="Arial" w:hAnsi="Arial" w:cs="Arial"/>
          <w:sz w:val="24"/>
          <w:lang w:val="es-MX"/>
        </w:rPr>
      </w:pPr>
    </w:p>
    <w:p w14:paraId="0961C368" w14:textId="77777777" w:rsidR="00C44B82" w:rsidRDefault="00C44B82" w:rsidP="00064E96">
      <w:pPr>
        <w:jc w:val="both"/>
        <w:rPr>
          <w:rFonts w:ascii="Arial" w:hAnsi="Arial" w:cs="Arial"/>
          <w:sz w:val="24"/>
          <w:lang w:val="es-MX"/>
        </w:rPr>
      </w:pPr>
    </w:p>
    <w:p w14:paraId="06922A14" w14:textId="77777777" w:rsidR="00C44B82" w:rsidRDefault="00C44B82" w:rsidP="00064E96">
      <w:pPr>
        <w:jc w:val="both"/>
        <w:rPr>
          <w:rFonts w:ascii="Arial" w:hAnsi="Arial" w:cs="Arial"/>
          <w:sz w:val="24"/>
          <w:lang w:val="es-MX"/>
        </w:rPr>
      </w:pPr>
    </w:p>
    <w:p w14:paraId="35992F55" w14:textId="40B1D08D" w:rsidR="00DA21A1" w:rsidRPr="00DA21A1" w:rsidRDefault="0072006F" w:rsidP="00064E96">
      <w:pPr>
        <w:jc w:val="both"/>
        <w:rPr>
          <w:rFonts w:ascii="Arial" w:hAnsi="Arial" w:cs="Arial"/>
          <w:sz w:val="24"/>
          <w:lang w:val="es-MX"/>
        </w:rPr>
      </w:pPr>
      <w:r>
        <w:rPr>
          <w:rFonts w:ascii="Arial" w:hAnsi="Arial" w:cs="Arial"/>
          <w:sz w:val="24"/>
          <w:lang w:val="es-MX"/>
        </w:rPr>
        <w:t>Los porcentajes de distribución reflejados en el gráfico No.1, son propios de las actividades sustantivas de la institución</w:t>
      </w:r>
      <w:r w:rsidR="006B0CE8">
        <w:rPr>
          <w:rFonts w:ascii="Arial" w:hAnsi="Arial" w:cs="Arial"/>
          <w:sz w:val="24"/>
          <w:lang w:val="es-MX"/>
        </w:rPr>
        <w:t xml:space="preserve">, </w:t>
      </w:r>
      <w:r w:rsidR="00167CD7">
        <w:rPr>
          <w:rFonts w:ascii="Arial" w:hAnsi="Arial" w:cs="Arial"/>
          <w:sz w:val="24"/>
          <w:lang w:val="es-MX"/>
        </w:rPr>
        <w:t>razón por la cual</w:t>
      </w:r>
      <w:r w:rsidR="006B0CE8">
        <w:rPr>
          <w:rFonts w:ascii="Arial" w:hAnsi="Arial" w:cs="Arial"/>
          <w:sz w:val="24"/>
          <w:lang w:val="es-MX"/>
        </w:rPr>
        <w:t xml:space="preserve"> el mayor porcentaje del presupuesto </w:t>
      </w:r>
      <w:r w:rsidR="00167CD7">
        <w:rPr>
          <w:rFonts w:ascii="Arial" w:hAnsi="Arial" w:cs="Arial"/>
          <w:sz w:val="24"/>
          <w:lang w:val="es-MX"/>
        </w:rPr>
        <w:t>está representado por</w:t>
      </w:r>
      <w:r w:rsidR="006B0CE8">
        <w:rPr>
          <w:rFonts w:ascii="Arial" w:hAnsi="Arial" w:cs="Arial"/>
          <w:sz w:val="24"/>
          <w:lang w:val="es-MX"/>
        </w:rPr>
        <w:t xml:space="preserve"> las partidas de Remuneraciones y Servicios </w:t>
      </w:r>
      <w:r w:rsidR="00167CD7">
        <w:rPr>
          <w:rFonts w:ascii="Arial" w:hAnsi="Arial" w:cs="Arial"/>
          <w:sz w:val="24"/>
          <w:lang w:val="es-MX"/>
        </w:rPr>
        <w:lastRenderedPageBreak/>
        <w:t xml:space="preserve">donde se </w:t>
      </w:r>
      <w:r w:rsidR="00DA21A1">
        <w:rPr>
          <w:rFonts w:ascii="Arial" w:hAnsi="Arial" w:cs="Arial"/>
          <w:sz w:val="24"/>
          <w:lang w:val="es-MX"/>
        </w:rPr>
        <w:t>agrupan el pago de planilla,</w:t>
      </w:r>
      <w:r w:rsidR="00167CD7">
        <w:rPr>
          <w:rFonts w:ascii="Arial" w:hAnsi="Arial" w:cs="Arial"/>
          <w:sz w:val="24"/>
          <w:lang w:val="es-MX"/>
        </w:rPr>
        <w:t xml:space="preserve"> los bienes y servicios relacionados con la </w:t>
      </w:r>
      <w:r w:rsidR="006B0CE8">
        <w:rPr>
          <w:rFonts w:ascii="Arial" w:hAnsi="Arial" w:cs="Arial"/>
          <w:sz w:val="24"/>
          <w:lang w:val="es-MX"/>
        </w:rPr>
        <w:t>continuidad de las funciones de prevención y protección</w:t>
      </w:r>
      <w:r w:rsidR="00852B4E">
        <w:rPr>
          <w:rFonts w:ascii="Arial" w:hAnsi="Arial" w:cs="Arial"/>
          <w:sz w:val="24"/>
          <w:lang w:val="es-MX"/>
        </w:rPr>
        <w:t xml:space="preserve"> brindadas a</w:t>
      </w:r>
      <w:r w:rsidR="006B0CE8">
        <w:rPr>
          <w:rFonts w:ascii="Arial" w:hAnsi="Arial" w:cs="Arial"/>
          <w:sz w:val="24"/>
          <w:lang w:val="es-MX"/>
        </w:rPr>
        <w:t xml:space="preserve"> la </w:t>
      </w:r>
      <w:r w:rsidR="00167CD7">
        <w:rPr>
          <w:rFonts w:ascii="Arial" w:hAnsi="Arial" w:cs="Arial"/>
          <w:sz w:val="24"/>
          <w:lang w:val="es-MX"/>
        </w:rPr>
        <w:t>comunidad</w:t>
      </w:r>
      <w:r w:rsidR="006B0CE8">
        <w:rPr>
          <w:rFonts w:ascii="Arial" w:hAnsi="Arial" w:cs="Arial"/>
          <w:sz w:val="24"/>
          <w:lang w:val="es-MX"/>
        </w:rPr>
        <w:t>, mientras que las partidas de Bienes Duraderos y Transferencias de capital</w:t>
      </w:r>
      <w:r w:rsidR="00167CD7">
        <w:rPr>
          <w:rFonts w:ascii="Arial" w:hAnsi="Arial" w:cs="Arial"/>
          <w:sz w:val="24"/>
          <w:lang w:val="es-MX"/>
        </w:rPr>
        <w:t xml:space="preserve"> registran los recursos vinculados con el reforzami</w:t>
      </w:r>
      <w:r w:rsidR="00C51A8D">
        <w:rPr>
          <w:rFonts w:ascii="Arial" w:hAnsi="Arial" w:cs="Arial"/>
          <w:sz w:val="24"/>
          <w:lang w:val="es-MX"/>
        </w:rPr>
        <w:t>ento estructural, reflejado en la porción que se destina al fideicomiso</w:t>
      </w:r>
      <w:r w:rsidR="00DA21A1">
        <w:rPr>
          <w:rFonts w:ascii="Arial" w:hAnsi="Arial" w:cs="Arial"/>
          <w:sz w:val="24"/>
          <w:lang w:val="es-MX"/>
        </w:rPr>
        <w:t xml:space="preserve"> y la adquisición de activos a largo plazo</w:t>
      </w:r>
      <w:r w:rsidR="00C51A8D">
        <w:rPr>
          <w:rFonts w:ascii="Arial" w:hAnsi="Arial" w:cs="Arial"/>
          <w:sz w:val="24"/>
          <w:lang w:val="es-MX"/>
        </w:rPr>
        <w:t>.</w:t>
      </w:r>
    </w:p>
    <w:p w14:paraId="603BE2AA" w14:textId="3D88838D" w:rsidR="00F6285B" w:rsidRDefault="00DA21A1" w:rsidP="00064E96">
      <w:pPr>
        <w:jc w:val="both"/>
        <w:rPr>
          <w:rFonts w:ascii="Arial" w:hAnsi="Arial" w:cs="Arial"/>
          <w:sz w:val="24"/>
          <w:lang w:val="es-MX"/>
        </w:rPr>
      </w:pPr>
      <w:r>
        <w:rPr>
          <w:rFonts w:ascii="Arial" w:hAnsi="Arial" w:cs="Arial"/>
          <w:sz w:val="24"/>
          <w:lang w:val="es-MX"/>
        </w:rPr>
        <w:t xml:space="preserve">En el siguiente </w:t>
      </w:r>
      <w:r w:rsidR="00363A60" w:rsidRPr="00363A60">
        <w:rPr>
          <w:rFonts w:ascii="Arial" w:hAnsi="Arial" w:cs="Arial"/>
          <w:sz w:val="24"/>
          <w:lang w:val="es-MX"/>
        </w:rPr>
        <w:t xml:space="preserve">gráfico No.2, </w:t>
      </w:r>
      <w:r>
        <w:rPr>
          <w:rFonts w:ascii="Arial" w:hAnsi="Arial" w:cs="Arial"/>
          <w:sz w:val="24"/>
          <w:lang w:val="es-MX"/>
        </w:rPr>
        <w:t xml:space="preserve">se puede observar </w:t>
      </w:r>
      <w:r w:rsidR="00363A60" w:rsidRPr="00363A60">
        <w:rPr>
          <w:rFonts w:ascii="Arial" w:hAnsi="Arial" w:cs="Arial"/>
          <w:sz w:val="24"/>
          <w:lang w:val="es-MX"/>
        </w:rPr>
        <w:t>la ev</w:t>
      </w:r>
      <w:r>
        <w:rPr>
          <w:rFonts w:ascii="Arial" w:hAnsi="Arial" w:cs="Arial"/>
          <w:sz w:val="24"/>
          <w:lang w:val="es-MX"/>
        </w:rPr>
        <w:t xml:space="preserve">olución </w:t>
      </w:r>
      <w:r w:rsidR="00363A60" w:rsidRPr="00363A60">
        <w:rPr>
          <w:rFonts w:ascii="Arial" w:hAnsi="Arial" w:cs="Arial"/>
          <w:sz w:val="24"/>
          <w:lang w:val="es-MX"/>
        </w:rPr>
        <w:t xml:space="preserve">presupuestaria de los ingresos </w:t>
      </w:r>
      <w:r w:rsidR="00363A60">
        <w:rPr>
          <w:rFonts w:ascii="Arial" w:hAnsi="Arial" w:cs="Arial"/>
          <w:sz w:val="24"/>
          <w:lang w:val="es-MX"/>
        </w:rPr>
        <w:t>y egresos correspondiente a los años 2019-</w:t>
      </w:r>
      <w:r w:rsidR="00314510">
        <w:rPr>
          <w:rFonts w:ascii="Arial" w:hAnsi="Arial" w:cs="Arial"/>
          <w:sz w:val="24"/>
          <w:lang w:val="es-MX"/>
        </w:rPr>
        <w:t xml:space="preserve"> 2021 y la ejecución al 30 de septiembre del </w:t>
      </w:r>
      <w:r w:rsidR="00363A60">
        <w:rPr>
          <w:rFonts w:ascii="Arial" w:hAnsi="Arial" w:cs="Arial"/>
          <w:sz w:val="24"/>
          <w:lang w:val="es-MX"/>
        </w:rPr>
        <w:t xml:space="preserve">2022, en el cual se presenta </w:t>
      </w:r>
      <w:r w:rsidR="006B5E84">
        <w:rPr>
          <w:rFonts w:ascii="Arial" w:hAnsi="Arial" w:cs="Arial"/>
          <w:sz w:val="24"/>
          <w:lang w:val="es-MX"/>
        </w:rPr>
        <w:t xml:space="preserve">el </w:t>
      </w:r>
      <w:r w:rsidR="00F71CAE">
        <w:rPr>
          <w:rFonts w:ascii="Arial" w:hAnsi="Arial" w:cs="Arial"/>
          <w:sz w:val="24"/>
          <w:lang w:val="es-MX"/>
        </w:rPr>
        <w:t xml:space="preserve">comportamiento del </w:t>
      </w:r>
      <w:r w:rsidR="00363A60">
        <w:rPr>
          <w:rFonts w:ascii="Arial" w:hAnsi="Arial" w:cs="Arial"/>
          <w:sz w:val="24"/>
          <w:lang w:val="es-MX"/>
        </w:rPr>
        <w:t>presupuesto definitivo, ingreso real</w:t>
      </w:r>
      <w:r w:rsidR="006B5E84">
        <w:rPr>
          <w:rFonts w:ascii="Arial" w:hAnsi="Arial" w:cs="Arial"/>
          <w:sz w:val="24"/>
          <w:lang w:val="es-MX"/>
        </w:rPr>
        <w:t xml:space="preserve"> y la</w:t>
      </w:r>
      <w:r w:rsidR="00363A60">
        <w:rPr>
          <w:rFonts w:ascii="Arial" w:hAnsi="Arial" w:cs="Arial"/>
          <w:sz w:val="24"/>
          <w:lang w:val="es-MX"/>
        </w:rPr>
        <w:t xml:space="preserve"> ejecución del gasto</w:t>
      </w:r>
      <w:r w:rsidR="006B5E84">
        <w:rPr>
          <w:rFonts w:ascii="Arial" w:hAnsi="Arial" w:cs="Arial"/>
          <w:sz w:val="24"/>
          <w:lang w:val="es-MX"/>
        </w:rPr>
        <w:t>.</w:t>
      </w:r>
      <w:r w:rsidR="00F71CAE">
        <w:rPr>
          <w:rFonts w:ascii="Arial" w:hAnsi="Arial" w:cs="Arial"/>
          <w:sz w:val="24"/>
          <w:lang w:val="es-MX"/>
        </w:rPr>
        <w:t xml:space="preserve"> En el gráfico muestra la tendencia </w:t>
      </w:r>
      <w:r>
        <w:rPr>
          <w:rFonts w:ascii="Arial" w:hAnsi="Arial" w:cs="Arial"/>
          <w:sz w:val="24"/>
          <w:lang w:val="es-MX"/>
        </w:rPr>
        <w:t>de la búsqueda de</w:t>
      </w:r>
      <w:r w:rsidR="00F71CAE">
        <w:rPr>
          <w:rFonts w:ascii="Arial" w:hAnsi="Arial" w:cs="Arial"/>
          <w:sz w:val="24"/>
          <w:lang w:val="es-MX"/>
        </w:rPr>
        <w:t xml:space="preserve"> una alta ejecución con respecto al </w:t>
      </w:r>
      <w:r w:rsidR="00F71CAE" w:rsidRPr="00314510">
        <w:rPr>
          <w:rFonts w:ascii="Arial" w:hAnsi="Arial" w:cs="Arial"/>
          <w:sz w:val="24"/>
          <w:lang w:val="es-MX"/>
        </w:rPr>
        <w:t>pres</w:t>
      </w:r>
      <w:r w:rsidRPr="00314510">
        <w:rPr>
          <w:rFonts w:ascii="Arial" w:hAnsi="Arial" w:cs="Arial"/>
          <w:sz w:val="24"/>
          <w:lang w:val="es-MX"/>
        </w:rPr>
        <w:t>upues</w:t>
      </w:r>
      <w:r w:rsidR="00F71CAE" w:rsidRPr="00314510">
        <w:rPr>
          <w:rFonts w:ascii="Arial" w:hAnsi="Arial" w:cs="Arial"/>
          <w:sz w:val="24"/>
          <w:lang w:val="es-MX"/>
        </w:rPr>
        <w:t>tado</w:t>
      </w:r>
      <w:r w:rsidR="00314510" w:rsidRPr="00314510">
        <w:rPr>
          <w:rFonts w:ascii="Arial" w:hAnsi="Arial" w:cs="Arial"/>
          <w:sz w:val="24"/>
          <w:lang w:val="es-MX"/>
        </w:rPr>
        <w:t>.</w:t>
      </w:r>
    </w:p>
    <w:p w14:paraId="0E42B599" w14:textId="72602E6D" w:rsidR="006B5E84" w:rsidRPr="00314510" w:rsidRDefault="006B5E84" w:rsidP="00064E96">
      <w:pPr>
        <w:jc w:val="both"/>
        <w:rPr>
          <w:rFonts w:ascii="Arial" w:hAnsi="Arial" w:cs="Arial"/>
          <w:sz w:val="24"/>
          <w:lang w:val="es-MX"/>
        </w:rPr>
      </w:pPr>
      <w:r>
        <w:rPr>
          <w:rFonts w:ascii="Arial" w:hAnsi="Arial" w:cs="Arial"/>
          <w:sz w:val="24"/>
          <w:lang w:val="es-MX"/>
        </w:rPr>
        <w:t>El ingreso reflejado considera el monto del superávit</w:t>
      </w:r>
      <w:r w:rsidR="00C04781">
        <w:rPr>
          <w:rFonts w:ascii="Arial" w:hAnsi="Arial" w:cs="Arial"/>
          <w:sz w:val="24"/>
          <w:lang w:val="es-MX"/>
        </w:rPr>
        <w:t xml:space="preserve"> del 2019 al 2022</w:t>
      </w:r>
      <w:r>
        <w:rPr>
          <w:rFonts w:ascii="Arial" w:hAnsi="Arial" w:cs="Arial"/>
          <w:sz w:val="24"/>
          <w:lang w:val="es-MX"/>
        </w:rPr>
        <w:t xml:space="preserve">. </w:t>
      </w:r>
    </w:p>
    <w:p w14:paraId="303D69DA" w14:textId="4A4ECC34" w:rsidR="00DB514B" w:rsidRDefault="00DB514B" w:rsidP="006B5E84">
      <w:pPr>
        <w:jc w:val="center"/>
        <w:rPr>
          <w:rFonts w:ascii="Arial" w:hAnsi="Arial" w:cs="Arial"/>
          <w:b/>
          <w:sz w:val="28"/>
          <w:lang w:val="es-MX"/>
        </w:rPr>
      </w:pPr>
    </w:p>
    <w:p w14:paraId="3F129DAC" w14:textId="467E4519" w:rsidR="00F6285B" w:rsidRDefault="00C04781" w:rsidP="00314510">
      <w:pPr>
        <w:jc w:val="center"/>
        <w:rPr>
          <w:rFonts w:ascii="Arial" w:hAnsi="Arial" w:cs="Arial"/>
          <w:b/>
          <w:sz w:val="28"/>
          <w:lang w:val="es-MX"/>
        </w:rPr>
      </w:pPr>
      <w:r>
        <w:rPr>
          <w:rFonts w:ascii="Arial" w:hAnsi="Arial" w:cs="Arial"/>
          <w:b/>
          <w:noProof/>
          <w:sz w:val="28"/>
          <w:lang w:val="es-MX"/>
        </w:rPr>
        <w:drawing>
          <wp:inline distT="0" distB="0" distL="0" distR="0" wp14:anchorId="16712BDA" wp14:editId="6E4ACBED">
            <wp:extent cx="5304155" cy="3255645"/>
            <wp:effectExtent l="0" t="0" r="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4155" cy="3255645"/>
                    </a:xfrm>
                    <a:prstGeom prst="rect">
                      <a:avLst/>
                    </a:prstGeom>
                    <a:noFill/>
                  </pic:spPr>
                </pic:pic>
              </a:graphicData>
            </a:graphic>
          </wp:inline>
        </w:drawing>
      </w:r>
    </w:p>
    <w:p w14:paraId="4837A248" w14:textId="77777777" w:rsidR="00F71CAE" w:rsidRDefault="00F71CAE" w:rsidP="00064E96">
      <w:pPr>
        <w:jc w:val="both"/>
        <w:rPr>
          <w:rFonts w:ascii="Arial" w:hAnsi="Arial" w:cs="Arial"/>
          <w:b/>
          <w:sz w:val="28"/>
          <w:lang w:val="es-MX"/>
        </w:rPr>
      </w:pPr>
    </w:p>
    <w:p w14:paraId="195972FC" w14:textId="77777777" w:rsidR="00F71CAE" w:rsidRDefault="00F71CAE" w:rsidP="00064E96">
      <w:pPr>
        <w:jc w:val="both"/>
        <w:rPr>
          <w:rFonts w:ascii="Arial" w:hAnsi="Arial" w:cs="Arial"/>
          <w:b/>
          <w:sz w:val="28"/>
          <w:lang w:val="es-MX"/>
        </w:rPr>
      </w:pPr>
    </w:p>
    <w:p w14:paraId="179CE452" w14:textId="77777777" w:rsidR="00F71CAE" w:rsidRDefault="00F71CAE" w:rsidP="00064E96">
      <w:pPr>
        <w:jc w:val="both"/>
        <w:rPr>
          <w:rFonts w:ascii="Arial" w:hAnsi="Arial" w:cs="Arial"/>
          <w:b/>
          <w:sz w:val="28"/>
          <w:lang w:val="es-MX"/>
        </w:rPr>
      </w:pPr>
    </w:p>
    <w:p w14:paraId="78EFEF28" w14:textId="77777777" w:rsidR="00F71CAE" w:rsidRDefault="00F71CAE" w:rsidP="00064E96">
      <w:pPr>
        <w:jc w:val="both"/>
        <w:rPr>
          <w:rFonts w:ascii="Arial" w:hAnsi="Arial" w:cs="Arial"/>
          <w:b/>
          <w:sz w:val="28"/>
          <w:lang w:val="es-MX"/>
        </w:rPr>
      </w:pPr>
    </w:p>
    <w:p w14:paraId="27B6DBC7" w14:textId="77777777" w:rsidR="00F71CAE" w:rsidRDefault="00F71CAE" w:rsidP="00064E96">
      <w:pPr>
        <w:jc w:val="both"/>
        <w:rPr>
          <w:rFonts w:ascii="Arial" w:hAnsi="Arial" w:cs="Arial"/>
          <w:b/>
          <w:sz w:val="28"/>
          <w:lang w:val="es-MX"/>
        </w:rPr>
      </w:pPr>
    </w:p>
    <w:p w14:paraId="2D1A19B7" w14:textId="77777777" w:rsidR="00F71CAE" w:rsidRDefault="00F71CAE" w:rsidP="00064E96">
      <w:pPr>
        <w:jc w:val="both"/>
        <w:rPr>
          <w:rFonts w:ascii="Arial" w:hAnsi="Arial" w:cs="Arial"/>
          <w:b/>
          <w:sz w:val="28"/>
          <w:lang w:val="es-MX"/>
        </w:rPr>
      </w:pPr>
    </w:p>
    <w:p w14:paraId="5D5952B4" w14:textId="77777777" w:rsidR="00F71CAE" w:rsidRDefault="00F71CAE" w:rsidP="00064E96">
      <w:pPr>
        <w:jc w:val="both"/>
        <w:rPr>
          <w:rFonts w:ascii="Arial" w:hAnsi="Arial" w:cs="Arial"/>
          <w:b/>
          <w:sz w:val="28"/>
          <w:lang w:val="es-MX"/>
        </w:rPr>
      </w:pPr>
    </w:p>
    <w:p w14:paraId="46C69955" w14:textId="77777777" w:rsidR="00F71CAE" w:rsidRDefault="00F71CAE" w:rsidP="00064E96">
      <w:pPr>
        <w:jc w:val="both"/>
        <w:rPr>
          <w:rFonts w:ascii="Arial" w:hAnsi="Arial" w:cs="Arial"/>
          <w:b/>
          <w:sz w:val="28"/>
          <w:lang w:val="es-MX"/>
        </w:rPr>
      </w:pPr>
    </w:p>
    <w:p w14:paraId="4BF538D4" w14:textId="328BFB90" w:rsidR="00C51A8D" w:rsidRDefault="003B1671" w:rsidP="00064E96">
      <w:pPr>
        <w:jc w:val="both"/>
        <w:rPr>
          <w:rFonts w:ascii="Arial" w:hAnsi="Arial" w:cs="Arial"/>
          <w:b/>
          <w:sz w:val="28"/>
          <w:lang w:val="es-MX"/>
        </w:rPr>
      </w:pPr>
      <w:bookmarkStart w:id="4" w:name="_Toc115779847"/>
      <w:r w:rsidRPr="00962832">
        <w:rPr>
          <w:rStyle w:val="Ttulo1Car"/>
          <w:rFonts w:ascii="Arial" w:hAnsi="Arial" w:cs="Arial"/>
          <w:b/>
          <w:bCs/>
          <w:color w:val="000000" w:themeColor="text1"/>
          <w:sz w:val="28"/>
          <w:szCs w:val="28"/>
        </w:rPr>
        <w:t>II EJECUCIÓN PRESUPUESTARIA</w:t>
      </w:r>
      <w:bookmarkEnd w:id="4"/>
      <w:r w:rsidRPr="003B1671">
        <w:rPr>
          <w:rFonts w:ascii="Arial" w:hAnsi="Arial" w:cs="Arial"/>
          <w:b/>
          <w:sz w:val="28"/>
          <w:lang w:val="es-MX"/>
        </w:rPr>
        <w:t>:</w:t>
      </w:r>
    </w:p>
    <w:p w14:paraId="19920CE3" w14:textId="77777777" w:rsidR="003B1671" w:rsidRDefault="003B1671" w:rsidP="00064E96">
      <w:pPr>
        <w:jc w:val="both"/>
        <w:rPr>
          <w:rFonts w:ascii="Arial" w:hAnsi="Arial" w:cs="Arial"/>
          <w:sz w:val="24"/>
          <w:lang w:val="es-MX"/>
        </w:rPr>
      </w:pPr>
    </w:p>
    <w:p w14:paraId="13051B36" w14:textId="776B2E6F" w:rsidR="00C51A8D" w:rsidRPr="00BE09DA" w:rsidRDefault="00BE09DA" w:rsidP="00BE09DA">
      <w:pPr>
        <w:pStyle w:val="Ttulo2"/>
        <w:rPr>
          <w:rFonts w:ascii="Arial" w:hAnsi="Arial" w:cs="Arial"/>
          <w:b/>
          <w:bCs/>
          <w:color w:val="000000" w:themeColor="text1"/>
          <w:sz w:val="28"/>
          <w:szCs w:val="28"/>
          <w:u w:val="single"/>
          <w:lang w:val="es-MX"/>
        </w:rPr>
      </w:pPr>
      <w:bookmarkStart w:id="5" w:name="_Toc115779848"/>
      <w:r w:rsidRPr="00BE09DA">
        <w:rPr>
          <w:rFonts w:ascii="Arial" w:hAnsi="Arial" w:cs="Arial"/>
          <w:b/>
          <w:bCs/>
          <w:color w:val="000000" w:themeColor="text1"/>
          <w:sz w:val="28"/>
          <w:szCs w:val="28"/>
          <w:u w:val="single"/>
          <w:lang w:val="es-MX"/>
        </w:rPr>
        <w:t>A.</w:t>
      </w:r>
      <w:r>
        <w:rPr>
          <w:rFonts w:ascii="Arial" w:hAnsi="Arial" w:cs="Arial"/>
          <w:b/>
          <w:bCs/>
          <w:color w:val="000000" w:themeColor="text1"/>
          <w:sz w:val="28"/>
          <w:szCs w:val="28"/>
          <w:u w:val="single"/>
          <w:lang w:val="es-MX"/>
        </w:rPr>
        <w:t xml:space="preserve"> </w:t>
      </w:r>
      <w:r w:rsidR="00852B4E" w:rsidRPr="00035E1E">
        <w:rPr>
          <w:rFonts w:ascii="Arial" w:hAnsi="Arial" w:cs="Arial"/>
          <w:b/>
          <w:bCs/>
          <w:color w:val="000000" w:themeColor="text1"/>
          <w:sz w:val="28"/>
          <w:szCs w:val="28"/>
          <w:u w:val="single"/>
          <w:lang w:val="es-MX"/>
        </w:rPr>
        <w:t>INGRESOS</w:t>
      </w:r>
      <w:bookmarkEnd w:id="5"/>
    </w:p>
    <w:p w14:paraId="45F1A9AE" w14:textId="77777777" w:rsidR="003B1671" w:rsidRDefault="003B1671" w:rsidP="003B1671">
      <w:pPr>
        <w:pStyle w:val="Prrafodelista"/>
        <w:jc w:val="both"/>
        <w:rPr>
          <w:rFonts w:ascii="Arial" w:hAnsi="Arial" w:cs="Arial"/>
          <w:b/>
          <w:sz w:val="28"/>
          <w:u w:val="single"/>
          <w:lang w:val="es-MX"/>
        </w:rPr>
      </w:pPr>
    </w:p>
    <w:p w14:paraId="6307417D" w14:textId="0040C408" w:rsidR="003B1671" w:rsidRDefault="003B1671" w:rsidP="003B1671">
      <w:pPr>
        <w:jc w:val="both"/>
        <w:rPr>
          <w:rFonts w:ascii="Arial" w:hAnsi="Arial" w:cs="Arial"/>
          <w:sz w:val="24"/>
          <w:lang w:val="es-MX"/>
        </w:rPr>
      </w:pPr>
      <w:r w:rsidRPr="003B1671">
        <w:rPr>
          <w:rFonts w:ascii="Arial" w:hAnsi="Arial" w:cs="Arial"/>
          <w:sz w:val="24"/>
          <w:lang w:val="es-MX"/>
        </w:rPr>
        <w:t>A continuación</w:t>
      </w:r>
      <w:r>
        <w:rPr>
          <w:rFonts w:ascii="Arial" w:hAnsi="Arial" w:cs="Arial"/>
          <w:sz w:val="24"/>
          <w:lang w:val="es-MX"/>
        </w:rPr>
        <w:t xml:space="preserve">, se presentan los ingresos </w:t>
      </w:r>
      <w:r w:rsidR="00852B4E">
        <w:rPr>
          <w:rFonts w:ascii="Arial" w:hAnsi="Arial" w:cs="Arial"/>
          <w:sz w:val="24"/>
          <w:lang w:val="es-MX"/>
        </w:rPr>
        <w:t>del Cuerpo de Bomberos</w:t>
      </w:r>
      <w:r>
        <w:rPr>
          <w:rFonts w:ascii="Arial" w:hAnsi="Arial" w:cs="Arial"/>
          <w:sz w:val="24"/>
          <w:lang w:val="es-MX"/>
        </w:rPr>
        <w:t xml:space="preserve"> al 30 de setiembre del 2022.</w:t>
      </w:r>
    </w:p>
    <w:p w14:paraId="4FAD0FD1" w14:textId="77777777" w:rsidR="00A81AE8" w:rsidRDefault="00A81AE8" w:rsidP="003B1671">
      <w:pPr>
        <w:jc w:val="both"/>
        <w:rPr>
          <w:rFonts w:ascii="Arial" w:hAnsi="Arial" w:cs="Arial"/>
          <w:sz w:val="24"/>
          <w:lang w:val="es-MX"/>
        </w:rPr>
      </w:pPr>
    </w:p>
    <w:p w14:paraId="28684AFA" w14:textId="34308FBB" w:rsidR="00864028" w:rsidRDefault="000B6D20" w:rsidP="003B1671">
      <w:pPr>
        <w:jc w:val="both"/>
        <w:rPr>
          <w:rFonts w:ascii="Arial" w:hAnsi="Arial" w:cs="Arial"/>
          <w:sz w:val="24"/>
          <w:lang w:val="es-MX"/>
        </w:rPr>
      </w:pPr>
      <w:r w:rsidRPr="000B6D20">
        <w:rPr>
          <w:noProof/>
        </w:rPr>
        <w:drawing>
          <wp:anchor distT="0" distB="0" distL="114300" distR="114300" simplePos="0" relativeHeight="251671552" behindDoc="1" locked="0" layoutInCell="1" allowOverlap="1" wp14:anchorId="24341EBF" wp14:editId="2ACC7211">
            <wp:simplePos x="0" y="0"/>
            <wp:positionH relativeFrom="margin">
              <wp:posOffset>-189865</wp:posOffset>
            </wp:positionH>
            <wp:positionV relativeFrom="paragraph">
              <wp:posOffset>635</wp:posOffset>
            </wp:positionV>
            <wp:extent cx="5994400" cy="3935730"/>
            <wp:effectExtent l="0" t="0" r="6350" b="7620"/>
            <wp:wrapTight wrapText="bothSides">
              <wp:wrapPolygon edited="0">
                <wp:start x="9679" y="0"/>
                <wp:lineTo x="5835" y="941"/>
                <wp:lineTo x="5835" y="1568"/>
                <wp:lineTo x="9404" y="1882"/>
                <wp:lineTo x="9404" y="2509"/>
                <wp:lineTo x="10777" y="3555"/>
                <wp:lineTo x="0" y="4391"/>
                <wp:lineTo x="0" y="21537"/>
                <wp:lineTo x="21554" y="21537"/>
                <wp:lineTo x="21554" y="20596"/>
                <wp:lineTo x="21486" y="20492"/>
                <wp:lineTo x="21074" y="20283"/>
                <wp:lineTo x="21554" y="19655"/>
                <wp:lineTo x="21554" y="18610"/>
                <wp:lineTo x="21005" y="18610"/>
                <wp:lineTo x="21554" y="17983"/>
                <wp:lineTo x="21554" y="10873"/>
                <wp:lineTo x="20936" y="10246"/>
                <wp:lineTo x="21486" y="10246"/>
                <wp:lineTo x="21554" y="10141"/>
                <wp:lineTo x="21554" y="4391"/>
                <wp:lineTo x="20936" y="4391"/>
                <wp:lineTo x="10777" y="3555"/>
                <wp:lineTo x="12150" y="2509"/>
                <wp:lineTo x="12150" y="1882"/>
                <wp:lineTo x="15719" y="1568"/>
                <wp:lineTo x="15788" y="1045"/>
                <wp:lineTo x="11807" y="0"/>
                <wp:lineTo x="9679"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94400" cy="3935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ED5EA0" w14:textId="77777777" w:rsidR="0024751C" w:rsidRDefault="0024751C" w:rsidP="00864028">
      <w:pPr>
        <w:rPr>
          <w:b/>
          <w:sz w:val="20"/>
          <w:lang w:val="es-MX"/>
        </w:rPr>
      </w:pPr>
    </w:p>
    <w:p w14:paraId="5D96E503" w14:textId="77777777" w:rsidR="00A81AE8" w:rsidRDefault="00A81AE8" w:rsidP="00864028">
      <w:pPr>
        <w:rPr>
          <w:b/>
          <w:sz w:val="20"/>
          <w:lang w:val="es-MX"/>
        </w:rPr>
      </w:pPr>
    </w:p>
    <w:p w14:paraId="26FA3813" w14:textId="77777777" w:rsidR="00A81AE8" w:rsidRDefault="00A81AE8" w:rsidP="00864028">
      <w:pPr>
        <w:rPr>
          <w:b/>
          <w:sz w:val="20"/>
          <w:lang w:val="es-MX"/>
        </w:rPr>
      </w:pPr>
    </w:p>
    <w:p w14:paraId="0463BF91" w14:textId="00DC8580" w:rsidR="0024751C" w:rsidRPr="00A81AE8" w:rsidRDefault="00864028" w:rsidP="00864028">
      <w:pPr>
        <w:rPr>
          <w:rFonts w:ascii="Arial" w:hAnsi="Arial" w:cs="Arial"/>
          <w:sz w:val="24"/>
          <w:lang w:val="es-MX"/>
        </w:rPr>
      </w:pPr>
      <w:r w:rsidRPr="00F6285B">
        <w:rPr>
          <w:b/>
          <w:sz w:val="20"/>
          <w:lang w:val="es-MX"/>
        </w:rPr>
        <w:t>Fuente:  Área de Gestión de Recursos Económicos</w:t>
      </w:r>
    </w:p>
    <w:p w14:paraId="0C2C5A21" w14:textId="3D44A583" w:rsidR="00A81AE8" w:rsidRDefault="00A81AE8" w:rsidP="00864028">
      <w:pPr>
        <w:rPr>
          <w:rFonts w:ascii="Arial" w:hAnsi="Arial" w:cs="Arial"/>
          <w:b/>
          <w:sz w:val="24"/>
          <w:lang w:val="es-MX"/>
        </w:rPr>
      </w:pPr>
    </w:p>
    <w:p w14:paraId="0D8E59A0" w14:textId="29110A18" w:rsidR="00A81AE8" w:rsidRDefault="00A81AE8" w:rsidP="00864028">
      <w:pPr>
        <w:rPr>
          <w:rFonts w:ascii="Arial" w:hAnsi="Arial" w:cs="Arial"/>
          <w:b/>
          <w:sz w:val="24"/>
          <w:lang w:val="es-MX"/>
        </w:rPr>
      </w:pPr>
    </w:p>
    <w:p w14:paraId="0DBD12B0" w14:textId="2982A6DB" w:rsidR="00A81AE8" w:rsidRDefault="00A81AE8" w:rsidP="00864028">
      <w:pPr>
        <w:rPr>
          <w:rFonts w:ascii="Arial" w:hAnsi="Arial" w:cs="Arial"/>
          <w:b/>
          <w:sz w:val="24"/>
          <w:lang w:val="es-MX"/>
        </w:rPr>
      </w:pPr>
    </w:p>
    <w:p w14:paraId="1447ECE3" w14:textId="26578553" w:rsidR="00A81AE8" w:rsidRDefault="00A81AE8" w:rsidP="00864028">
      <w:pPr>
        <w:rPr>
          <w:rFonts w:ascii="Arial" w:hAnsi="Arial" w:cs="Arial"/>
          <w:b/>
          <w:sz w:val="24"/>
          <w:lang w:val="es-MX"/>
        </w:rPr>
      </w:pPr>
    </w:p>
    <w:p w14:paraId="06A29839" w14:textId="26B678BB" w:rsidR="00A81AE8" w:rsidRDefault="00A81AE8" w:rsidP="00864028">
      <w:pPr>
        <w:rPr>
          <w:rFonts w:ascii="Arial" w:hAnsi="Arial" w:cs="Arial"/>
          <w:b/>
          <w:sz w:val="24"/>
          <w:lang w:val="es-MX"/>
        </w:rPr>
      </w:pPr>
    </w:p>
    <w:p w14:paraId="41427659" w14:textId="77777777" w:rsidR="00A81AE8" w:rsidRDefault="00A81AE8" w:rsidP="00864028">
      <w:pPr>
        <w:rPr>
          <w:rFonts w:ascii="Arial" w:hAnsi="Arial" w:cs="Arial"/>
          <w:b/>
          <w:sz w:val="24"/>
          <w:lang w:val="es-MX"/>
        </w:rPr>
      </w:pPr>
    </w:p>
    <w:p w14:paraId="060BB962" w14:textId="034F16DA" w:rsidR="00864028" w:rsidRPr="00EE317A" w:rsidRDefault="004C74A2" w:rsidP="00864028">
      <w:pPr>
        <w:rPr>
          <w:rFonts w:ascii="Arial" w:hAnsi="Arial" w:cs="Arial"/>
          <w:b/>
          <w:sz w:val="24"/>
          <w:lang w:val="es-MX"/>
        </w:rPr>
      </w:pPr>
      <w:r w:rsidRPr="00EE317A">
        <w:rPr>
          <w:rFonts w:ascii="Arial" w:hAnsi="Arial" w:cs="Arial"/>
          <w:b/>
          <w:sz w:val="24"/>
          <w:lang w:val="es-MX"/>
        </w:rPr>
        <w:t>Ingresos Corrientes</w:t>
      </w:r>
    </w:p>
    <w:p w14:paraId="0AD3A378" w14:textId="03179DEB" w:rsidR="008E48F5" w:rsidRPr="008E48F5" w:rsidRDefault="008E48F5" w:rsidP="008E48F5">
      <w:pPr>
        <w:jc w:val="both"/>
        <w:rPr>
          <w:rFonts w:ascii="Arial" w:hAnsi="Arial" w:cs="Arial"/>
          <w:sz w:val="24"/>
          <w:lang w:val="es-MX"/>
        </w:rPr>
      </w:pPr>
      <w:r w:rsidRPr="00D72EC2">
        <w:rPr>
          <w:rFonts w:ascii="Arial" w:eastAsia="Arial" w:hAnsi="Arial" w:cs="Arial"/>
          <w:sz w:val="24"/>
          <w:szCs w:val="24"/>
          <w:lang w:val="es-ES"/>
        </w:rPr>
        <w:t>Para el cierre del II</w:t>
      </w:r>
      <w:r>
        <w:rPr>
          <w:rFonts w:ascii="Arial" w:eastAsia="Arial" w:hAnsi="Arial" w:cs="Arial"/>
          <w:sz w:val="24"/>
          <w:szCs w:val="24"/>
          <w:lang w:val="es-ES"/>
        </w:rPr>
        <w:t>I</w:t>
      </w:r>
      <w:r w:rsidRPr="00D72EC2">
        <w:rPr>
          <w:rFonts w:ascii="Arial" w:eastAsia="Arial" w:hAnsi="Arial" w:cs="Arial"/>
          <w:sz w:val="24"/>
          <w:szCs w:val="24"/>
          <w:lang w:val="es-ES"/>
        </w:rPr>
        <w:t xml:space="preserve"> Trimestre 2022</w:t>
      </w:r>
      <w:r>
        <w:rPr>
          <w:rFonts w:ascii="Arial" w:eastAsia="Arial" w:hAnsi="Arial" w:cs="Arial"/>
          <w:sz w:val="24"/>
          <w:szCs w:val="24"/>
          <w:lang w:val="es-ES"/>
        </w:rPr>
        <w:t>, los Ingresos Tributarios ascienden a</w:t>
      </w:r>
      <w:r w:rsidRPr="00D72EC2">
        <w:rPr>
          <w:rFonts w:ascii="Arial" w:eastAsia="Arial" w:hAnsi="Arial" w:cs="Arial"/>
          <w:sz w:val="24"/>
          <w:szCs w:val="24"/>
          <w:lang w:val="es-ES"/>
        </w:rPr>
        <w:t xml:space="preserve"> ¢</w:t>
      </w:r>
      <w:r>
        <w:rPr>
          <w:rFonts w:ascii="Arial" w:eastAsia="Arial" w:hAnsi="Arial" w:cs="Arial"/>
          <w:sz w:val="24"/>
          <w:szCs w:val="24"/>
          <w:lang w:val="es-ES"/>
        </w:rPr>
        <w:t>6</w:t>
      </w:r>
      <w:r w:rsidRPr="00D72EC2">
        <w:rPr>
          <w:rFonts w:ascii="Arial" w:eastAsia="Arial" w:hAnsi="Arial" w:cs="Arial"/>
          <w:sz w:val="24"/>
          <w:szCs w:val="24"/>
          <w:lang w:val="es-ES"/>
        </w:rPr>
        <w:t>,1</w:t>
      </w:r>
      <w:r>
        <w:rPr>
          <w:rFonts w:ascii="Arial" w:eastAsia="Arial" w:hAnsi="Arial" w:cs="Arial"/>
          <w:sz w:val="24"/>
          <w:szCs w:val="24"/>
          <w:lang w:val="es-ES"/>
        </w:rPr>
        <w:t>96</w:t>
      </w:r>
      <w:r w:rsidRPr="00D72EC2">
        <w:rPr>
          <w:rFonts w:ascii="Arial" w:eastAsia="Arial" w:hAnsi="Arial" w:cs="Arial"/>
          <w:sz w:val="24"/>
          <w:szCs w:val="24"/>
          <w:lang w:val="es-ES"/>
        </w:rPr>
        <w:t xml:space="preserve"> millones de colones, </w:t>
      </w:r>
      <w:r>
        <w:rPr>
          <w:rFonts w:ascii="Arial" w:eastAsia="Arial" w:hAnsi="Arial" w:cs="Arial"/>
          <w:sz w:val="24"/>
          <w:szCs w:val="24"/>
          <w:lang w:val="es-ES"/>
        </w:rPr>
        <w:t xml:space="preserve">logrando alcanzar </w:t>
      </w:r>
      <w:r w:rsidRPr="00D72EC2">
        <w:rPr>
          <w:rFonts w:ascii="Arial" w:eastAsia="Arial" w:hAnsi="Arial" w:cs="Arial"/>
          <w:sz w:val="24"/>
          <w:szCs w:val="24"/>
          <w:lang w:val="es-ES"/>
        </w:rPr>
        <w:t xml:space="preserve">una ejecución del </w:t>
      </w:r>
      <w:r>
        <w:rPr>
          <w:rFonts w:ascii="Arial" w:eastAsia="Arial" w:hAnsi="Arial" w:cs="Arial"/>
          <w:sz w:val="24"/>
          <w:szCs w:val="24"/>
          <w:lang w:val="es-ES"/>
        </w:rPr>
        <w:t>77</w:t>
      </w:r>
      <w:r w:rsidRPr="00D72EC2">
        <w:rPr>
          <w:rFonts w:ascii="Arial" w:eastAsia="Arial" w:hAnsi="Arial" w:cs="Arial"/>
          <w:sz w:val="24"/>
          <w:szCs w:val="24"/>
          <w:lang w:val="es-ES"/>
        </w:rPr>
        <w:t>% del monto total presupuestado de ¢8,061</w:t>
      </w:r>
      <w:r w:rsidR="00337C04">
        <w:rPr>
          <w:rFonts w:ascii="Arial" w:eastAsia="Arial" w:hAnsi="Arial" w:cs="Arial"/>
          <w:sz w:val="24"/>
          <w:szCs w:val="24"/>
          <w:lang w:val="es-ES"/>
        </w:rPr>
        <w:t xml:space="preserve"> millones de colones</w:t>
      </w:r>
      <w:r w:rsidRPr="00D72EC2">
        <w:rPr>
          <w:rFonts w:ascii="Arial" w:eastAsia="Arial" w:hAnsi="Arial" w:cs="Arial"/>
          <w:sz w:val="24"/>
          <w:szCs w:val="24"/>
          <w:lang w:val="es-ES"/>
        </w:rPr>
        <w:t>.</w:t>
      </w:r>
      <w:r>
        <w:rPr>
          <w:rFonts w:ascii="Arial" w:eastAsia="Arial" w:hAnsi="Arial" w:cs="Arial"/>
          <w:sz w:val="24"/>
          <w:szCs w:val="24"/>
          <w:lang w:val="es-ES"/>
        </w:rPr>
        <w:t xml:space="preserve"> Bajo este concepto se registran los ingresos percibidos por</w:t>
      </w:r>
      <w:r>
        <w:rPr>
          <w:rFonts w:ascii="Arial" w:hAnsi="Arial" w:cs="Arial"/>
          <w:sz w:val="24"/>
          <w:lang w:val="es-MX"/>
        </w:rPr>
        <w:t xml:space="preserve"> </w:t>
      </w:r>
      <w:r>
        <w:rPr>
          <w:rFonts w:ascii="Arial" w:eastAsia="Arial" w:hAnsi="Arial" w:cs="Arial"/>
          <w:sz w:val="24"/>
          <w:szCs w:val="24"/>
          <w:lang w:val="es-ES"/>
        </w:rPr>
        <w:t>el</w:t>
      </w:r>
      <w:r w:rsidRPr="00D72EC2">
        <w:rPr>
          <w:rFonts w:ascii="Arial" w:eastAsia="Arial" w:hAnsi="Arial" w:cs="Arial"/>
          <w:sz w:val="24"/>
          <w:szCs w:val="24"/>
          <w:lang w:val="es-ES"/>
        </w:rPr>
        <w:t xml:space="preserve"> tributo del uno coma setenta y cinco por ciento (1,75%) de la facturación mensual por consumo de electricidad </w:t>
      </w:r>
      <w:r>
        <w:rPr>
          <w:rFonts w:ascii="Arial" w:eastAsia="Arial" w:hAnsi="Arial" w:cs="Arial"/>
          <w:sz w:val="24"/>
          <w:szCs w:val="24"/>
          <w:lang w:val="es-ES"/>
        </w:rPr>
        <w:t>que</w:t>
      </w:r>
      <w:r w:rsidRPr="00D72EC2">
        <w:rPr>
          <w:rFonts w:ascii="Arial" w:eastAsia="Arial" w:hAnsi="Arial" w:cs="Arial"/>
          <w:sz w:val="24"/>
          <w:szCs w:val="24"/>
          <w:lang w:val="es-ES"/>
        </w:rPr>
        <w:t xml:space="preserve"> representa</w:t>
      </w:r>
      <w:r>
        <w:rPr>
          <w:rFonts w:ascii="Arial" w:eastAsia="Arial" w:hAnsi="Arial" w:cs="Arial"/>
          <w:sz w:val="24"/>
          <w:szCs w:val="24"/>
          <w:lang w:val="es-ES"/>
        </w:rPr>
        <w:t>n</w:t>
      </w:r>
      <w:r w:rsidRPr="00D72EC2">
        <w:rPr>
          <w:rFonts w:ascii="Arial" w:eastAsia="Arial" w:hAnsi="Arial" w:cs="Arial"/>
          <w:sz w:val="24"/>
          <w:szCs w:val="24"/>
          <w:lang w:val="es-ES"/>
        </w:rPr>
        <w:t xml:space="preserve"> el 1</w:t>
      </w:r>
      <w:r>
        <w:rPr>
          <w:rFonts w:ascii="Arial" w:eastAsia="Arial" w:hAnsi="Arial" w:cs="Arial"/>
          <w:sz w:val="24"/>
          <w:szCs w:val="24"/>
          <w:lang w:val="es-ES"/>
        </w:rPr>
        <w:t>7</w:t>
      </w:r>
      <w:r w:rsidRPr="00D72EC2">
        <w:rPr>
          <w:rFonts w:ascii="Arial" w:eastAsia="Arial" w:hAnsi="Arial" w:cs="Arial"/>
          <w:sz w:val="24"/>
          <w:szCs w:val="24"/>
          <w:lang w:val="es-ES"/>
        </w:rPr>
        <w:t>% de</w:t>
      </w:r>
      <w:r>
        <w:rPr>
          <w:rFonts w:ascii="Arial" w:eastAsia="Arial" w:hAnsi="Arial" w:cs="Arial"/>
          <w:sz w:val="24"/>
          <w:szCs w:val="24"/>
          <w:lang w:val="es-ES"/>
        </w:rPr>
        <w:t>l total del presupuesto de</w:t>
      </w:r>
      <w:r w:rsidRPr="00D72EC2">
        <w:rPr>
          <w:rFonts w:ascii="Arial" w:eastAsia="Arial" w:hAnsi="Arial" w:cs="Arial"/>
          <w:sz w:val="24"/>
          <w:szCs w:val="24"/>
          <w:lang w:val="es-ES"/>
        </w:rPr>
        <w:t xml:space="preserve"> ingresos presupuestados</w:t>
      </w:r>
      <w:r>
        <w:rPr>
          <w:rFonts w:ascii="Arial" w:eastAsia="Arial" w:hAnsi="Arial" w:cs="Arial"/>
          <w:sz w:val="24"/>
          <w:szCs w:val="24"/>
          <w:lang w:val="es-ES"/>
        </w:rPr>
        <w:t>. E</w:t>
      </w:r>
      <w:r w:rsidRPr="00D72EC2">
        <w:rPr>
          <w:rFonts w:ascii="Arial" w:eastAsia="Arial" w:hAnsi="Arial" w:cs="Arial"/>
          <w:sz w:val="24"/>
          <w:szCs w:val="24"/>
          <w:lang w:val="es-ES"/>
        </w:rPr>
        <w:t>s la segunda fuente de recursos más importante y su fundamento legal está estipulo en el artículo 3 de la Ley N°8992 en adición al inciso g) del artículo 40 de la Ley N°8228.</w:t>
      </w:r>
    </w:p>
    <w:p w14:paraId="7432F547" w14:textId="77777777" w:rsidR="00EE317A" w:rsidRDefault="00EE317A" w:rsidP="00FD26CB">
      <w:pPr>
        <w:jc w:val="both"/>
        <w:rPr>
          <w:rFonts w:ascii="Arial" w:eastAsia="Arial" w:hAnsi="Arial" w:cs="Arial"/>
          <w:sz w:val="24"/>
          <w:szCs w:val="24"/>
          <w:lang w:val="es-ES"/>
        </w:rPr>
      </w:pPr>
      <w:r>
        <w:rPr>
          <w:rFonts w:ascii="Arial" w:eastAsia="Arial" w:hAnsi="Arial" w:cs="Arial"/>
          <w:sz w:val="24"/>
          <w:szCs w:val="24"/>
          <w:lang w:val="es-ES"/>
        </w:rPr>
        <w:t xml:space="preserve">El subgrupo de Ingresos No Tributarios representa el 4% del total de los ingresos percibidos y bajo este grupo </w:t>
      </w:r>
      <w:r w:rsidRPr="00EE317A">
        <w:rPr>
          <w:rFonts w:ascii="Arial" w:eastAsia="Arial" w:hAnsi="Arial" w:cs="Arial"/>
          <w:sz w:val="24"/>
          <w:szCs w:val="24"/>
          <w:lang w:val="es-ES"/>
        </w:rPr>
        <w:t xml:space="preserve">se registran los servicios de formación y capacitación, visado, servicios técnicos de ingeniería, el convenio con Aviación Civil, entre otros.  </w:t>
      </w:r>
    </w:p>
    <w:p w14:paraId="61F897F5" w14:textId="68892621" w:rsidR="008E48F5" w:rsidRPr="00D72EC2" w:rsidRDefault="00EE317A" w:rsidP="00FD26CB">
      <w:pPr>
        <w:jc w:val="both"/>
        <w:rPr>
          <w:rFonts w:ascii="Arial" w:eastAsia="Arial" w:hAnsi="Arial" w:cs="Arial"/>
          <w:sz w:val="24"/>
          <w:szCs w:val="24"/>
          <w:lang w:val="es-ES"/>
        </w:rPr>
      </w:pPr>
      <w:r>
        <w:rPr>
          <w:rFonts w:ascii="Arial" w:eastAsia="Arial" w:hAnsi="Arial" w:cs="Arial"/>
          <w:sz w:val="24"/>
          <w:szCs w:val="24"/>
          <w:lang w:val="es-ES"/>
        </w:rPr>
        <w:t>Al cierre del I</w:t>
      </w:r>
      <w:r w:rsidRPr="00EE317A">
        <w:rPr>
          <w:rFonts w:ascii="Arial" w:eastAsia="Arial" w:hAnsi="Arial" w:cs="Arial"/>
          <w:sz w:val="24"/>
          <w:szCs w:val="24"/>
          <w:lang w:val="es-ES"/>
        </w:rPr>
        <w:t xml:space="preserve">II Trimestre 2022 </w:t>
      </w:r>
      <w:r>
        <w:rPr>
          <w:rFonts w:ascii="Arial" w:eastAsia="Arial" w:hAnsi="Arial" w:cs="Arial"/>
          <w:sz w:val="24"/>
          <w:szCs w:val="24"/>
          <w:lang w:val="es-ES"/>
        </w:rPr>
        <w:t xml:space="preserve">este subgrupo </w:t>
      </w:r>
      <w:r w:rsidRPr="00EE317A">
        <w:rPr>
          <w:rFonts w:ascii="Arial" w:eastAsia="Arial" w:hAnsi="Arial" w:cs="Arial"/>
          <w:sz w:val="24"/>
          <w:szCs w:val="24"/>
          <w:lang w:val="es-ES"/>
        </w:rPr>
        <w:t>registró un monto total de ¢</w:t>
      </w:r>
      <w:r>
        <w:rPr>
          <w:rFonts w:ascii="Arial" w:eastAsia="Arial" w:hAnsi="Arial" w:cs="Arial"/>
          <w:sz w:val="24"/>
          <w:szCs w:val="24"/>
          <w:lang w:val="es-ES"/>
        </w:rPr>
        <w:t xml:space="preserve">1,564 </w:t>
      </w:r>
      <w:r w:rsidRPr="00EE317A">
        <w:rPr>
          <w:rFonts w:ascii="Arial" w:eastAsia="Arial" w:hAnsi="Arial" w:cs="Arial"/>
          <w:sz w:val="24"/>
          <w:szCs w:val="24"/>
          <w:lang w:val="es-ES"/>
        </w:rPr>
        <w:t xml:space="preserve">millones de colones, alcanzando una ejecución del </w:t>
      </w:r>
      <w:r>
        <w:rPr>
          <w:rFonts w:ascii="Arial" w:eastAsia="Arial" w:hAnsi="Arial" w:cs="Arial"/>
          <w:sz w:val="24"/>
          <w:szCs w:val="24"/>
          <w:lang w:val="es-ES"/>
        </w:rPr>
        <w:t>81</w:t>
      </w:r>
      <w:r w:rsidRPr="00EE317A">
        <w:rPr>
          <w:rFonts w:ascii="Arial" w:eastAsia="Arial" w:hAnsi="Arial" w:cs="Arial"/>
          <w:sz w:val="24"/>
          <w:szCs w:val="24"/>
          <w:lang w:val="es-ES"/>
        </w:rPr>
        <w:t>% del monto formulado de ¢1,920</w:t>
      </w:r>
      <w:r w:rsidR="00337C04">
        <w:rPr>
          <w:rFonts w:ascii="Arial" w:eastAsia="Arial" w:hAnsi="Arial" w:cs="Arial"/>
          <w:sz w:val="24"/>
          <w:szCs w:val="24"/>
          <w:lang w:val="es-ES"/>
        </w:rPr>
        <w:t xml:space="preserve"> millones de colones</w:t>
      </w:r>
      <w:r>
        <w:rPr>
          <w:rFonts w:ascii="Arial" w:eastAsia="Arial" w:hAnsi="Arial" w:cs="Arial"/>
          <w:sz w:val="24"/>
          <w:szCs w:val="24"/>
          <w:lang w:val="es-ES"/>
        </w:rPr>
        <w:t>.</w:t>
      </w:r>
    </w:p>
    <w:p w14:paraId="18EA72E4" w14:textId="6D2D9AAF" w:rsidR="005F7674" w:rsidRDefault="00EE317A" w:rsidP="00FD26CB">
      <w:pPr>
        <w:jc w:val="both"/>
        <w:rPr>
          <w:rFonts w:ascii="Arial" w:eastAsia="Arial" w:hAnsi="Arial" w:cs="Arial"/>
          <w:sz w:val="24"/>
          <w:szCs w:val="24"/>
          <w:lang w:val="es-ES"/>
        </w:rPr>
      </w:pPr>
      <w:r>
        <w:rPr>
          <w:rFonts w:ascii="Arial" w:eastAsia="Arial" w:hAnsi="Arial" w:cs="Arial"/>
          <w:sz w:val="24"/>
          <w:szCs w:val="24"/>
          <w:lang w:val="es-ES"/>
        </w:rPr>
        <w:t>El subgr</w:t>
      </w:r>
      <w:r w:rsidR="00FD26CB">
        <w:rPr>
          <w:rFonts w:ascii="Arial" w:eastAsia="Arial" w:hAnsi="Arial" w:cs="Arial"/>
          <w:sz w:val="24"/>
          <w:szCs w:val="24"/>
          <w:lang w:val="es-ES"/>
        </w:rPr>
        <w:t>upo de las Transferencias Corrientes contempla el mayor porcentaje de participación y representa el 77% de</w:t>
      </w:r>
      <w:r w:rsidR="005F7674">
        <w:rPr>
          <w:rFonts w:ascii="Arial" w:eastAsia="Arial" w:hAnsi="Arial" w:cs="Arial"/>
          <w:sz w:val="24"/>
          <w:szCs w:val="24"/>
          <w:lang w:val="es-ES"/>
        </w:rPr>
        <w:t>l total de</w:t>
      </w:r>
      <w:r w:rsidR="00FD26CB">
        <w:rPr>
          <w:rFonts w:ascii="Arial" w:eastAsia="Arial" w:hAnsi="Arial" w:cs="Arial"/>
          <w:sz w:val="24"/>
          <w:szCs w:val="24"/>
          <w:lang w:val="es-ES"/>
        </w:rPr>
        <w:t xml:space="preserve"> los ingresos percibidos</w:t>
      </w:r>
      <w:r w:rsidR="005F7674">
        <w:rPr>
          <w:rFonts w:ascii="Arial" w:eastAsia="Arial" w:hAnsi="Arial" w:cs="Arial"/>
          <w:sz w:val="24"/>
          <w:szCs w:val="24"/>
          <w:lang w:val="es-ES"/>
        </w:rPr>
        <w:t xml:space="preserve"> y bajo este concepto se registra el </w:t>
      </w:r>
      <w:r w:rsidR="005F7674" w:rsidRPr="00FD26CB">
        <w:rPr>
          <w:rFonts w:ascii="Arial" w:eastAsia="Arial" w:hAnsi="Arial" w:cs="Arial"/>
          <w:sz w:val="24"/>
          <w:szCs w:val="24"/>
          <w:lang w:val="es-ES"/>
        </w:rPr>
        <w:t>aporte del cuatro por ciento (4%) sobre las primas de seguro</w:t>
      </w:r>
      <w:r w:rsidR="00337C04">
        <w:rPr>
          <w:rFonts w:ascii="Arial" w:eastAsia="Arial" w:hAnsi="Arial" w:cs="Arial"/>
          <w:sz w:val="24"/>
          <w:szCs w:val="24"/>
          <w:lang w:val="es-ES"/>
        </w:rPr>
        <w:t>, dentro de los cuales el 50% representa el aporte que realiza el Instituto Nacional de Seguros</w:t>
      </w:r>
    </w:p>
    <w:p w14:paraId="23849331" w14:textId="149400B7" w:rsidR="005F7674" w:rsidRDefault="005F7674" w:rsidP="00337C04">
      <w:pPr>
        <w:pStyle w:val="Textoindependiente"/>
        <w:spacing w:line="276" w:lineRule="auto"/>
        <w:ind w:right="117"/>
        <w:contextualSpacing/>
        <w:jc w:val="both"/>
      </w:pPr>
      <w:r w:rsidRPr="00D72EC2">
        <w:t>Su fundamento legal se encuentra estipulado en el inciso a) del artículo 40 de la Ley N°8228, que indica que el Cuerpo de Bomberos se financiará con el cuatro por ciento (4%) del total de las primas de todos los seguros que se vendan en el país, convirtiéndose en la fuente de recursos más significativa del Cuerpo de Bomberos.</w:t>
      </w:r>
    </w:p>
    <w:p w14:paraId="0CEC2907" w14:textId="77777777" w:rsidR="00337C04" w:rsidRDefault="00337C04" w:rsidP="00337C04">
      <w:pPr>
        <w:pStyle w:val="Textoindependiente"/>
        <w:spacing w:line="276" w:lineRule="auto"/>
        <w:ind w:right="117"/>
        <w:contextualSpacing/>
        <w:jc w:val="both"/>
      </w:pPr>
    </w:p>
    <w:p w14:paraId="300F89F5" w14:textId="37D5E991" w:rsidR="00864028" w:rsidRDefault="005F7674" w:rsidP="00FD26CB">
      <w:pPr>
        <w:jc w:val="both"/>
        <w:rPr>
          <w:rFonts w:ascii="Arial" w:eastAsia="Arial" w:hAnsi="Arial" w:cs="Arial"/>
          <w:sz w:val="24"/>
          <w:szCs w:val="24"/>
          <w:lang w:val="es-ES"/>
        </w:rPr>
      </w:pPr>
      <w:r>
        <w:rPr>
          <w:rFonts w:ascii="Arial" w:eastAsia="Arial" w:hAnsi="Arial" w:cs="Arial"/>
          <w:sz w:val="24"/>
          <w:szCs w:val="24"/>
          <w:lang w:val="es-ES"/>
        </w:rPr>
        <w:t>Al 30 de setiembre el monto registrado asciende a ¢27,891 millones de colones</w:t>
      </w:r>
      <w:r w:rsidR="00FD26CB">
        <w:rPr>
          <w:rFonts w:ascii="Arial" w:eastAsia="Arial" w:hAnsi="Arial" w:cs="Arial"/>
          <w:sz w:val="24"/>
          <w:szCs w:val="24"/>
          <w:lang w:val="es-ES"/>
        </w:rPr>
        <w:t xml:space="preserve"> </w:t>
      </w:r>
      <w:r>
        <w:rPr>
          <w:rFonts w:ascii="Arial" w:eastAsia="Arial" w:hAnsi="Arial" w:cs="Arial"/>
          <w:sz w:val="24"/>
          <w:szCs w:val="24"/>
          <w:lang w:val="es-ES"/>
        </w:rPr>
        <w:t>logrando</w:t>
      </w:r>
      <w:r w:rsidR="00FD26CB">
        <w:rPr>
          <w:rFonts w:ascii="Arial" w:eastAsia="Arial" w:hAnsi="Arial" w:cs="Arial"/>
          <w:sz w:val="24"/>
          <w:szCs w:val="24"/>
          <w:lang w:val="es-ES"/>
        </w:rPr>
        <w:t xml:space="preserve"> alcanz</w:t>
      </w:r>
      <w:r>
        <w:rPr>
          <w:rFonts w:ascii="Arial" w:eastAsia="Arial" w:hAnsi="Arial" w:cs="Arial"/>
          <w:sz w:val="24"/>
          <w:szCs w:val="24"/>
          <w:lang w:val="es-ES"/>
        </w:rPr>
        <w:t>ar</w:t>
      </w:r>
      <w:r w:rsidR="00FD26CB">
        <w:rPr>
          <w:rFonts w:ascii="Arial" w:eastAsia="Arial" w:hAnsi="Arial" w:cs="Arial"/>
          <w:sz w:val="24"/>
          <w:szCs w:val="24"/>
          <w:lang w:val="es-ES"/>
        </w:rPr>
        <w:t xml:space="preserve"> una ejecución del 82%.</w:t>
      </w:r>
    </w:p>
    <w:p w14:paraId="5F2C3699" w14:textId="77777777" w:rsidR="00FD26CB" w:rsidRDefault="00FD26CB" w:rsidP="00FD26CB">
      <w:pPr>
        <w:jc w:val="both"/>
        <w:rPr>
          <w:rFonts w:ascii="Arial" w:eastAsia="Arial" w:hAnsi="Arial" w:cs="Arial"/>
          <w:sz w:val="24"/>
          <w:szCs w:val="24"/>
          <w:lang w:val="es-ES"/>
        </w:rPr>
      </w:pPr>
    </w:p>
    <w:p w14:paraId="3E376712" w14:textId="77777777" w:rsidR="00FD26CB" w:rsidRPr="00EE317A" w:rsidRDefault="005F7674" w:rsidP="00FD26CB">
      <w:pPr>
        <w:jc w:val="both"/>
        <w:rPr>
          <w:rFonts w:ascii="Arial" w:eastAsia="Arial" w:hAnsi="Arial" w:cs="Arial"/>
          <w:sz w:val="24"/>
          <w:szCs w:val="24"/>
          <w:lang w:val="es-ES"/>
        </w:rPr>
      </w:pPr>
      <w:r w:rsidRPr="00EE317A">
        <w:rPr>
          <w:rFonts w:ascii="Arial" w:hAnsi="Arial" w:cs="Arial"/>
          <w:b/>
          <w:sz w:val="24"/>
          <w:lang w:val="es-MX"/>
        </w:rPr>
        <w:t xml:space="preserve">Ingresos </w:t>
      </w:r>
      <w:r>
        <w:rPr>
          <w:rFonts w:ascii="Arial" w:hAnsi="Arial" w:cs="Arial"/>
          <w:b/>
          <w:sz w:val="24"/>
          <w:lang w:val="es-MX"/>
        </w:rPr>
        <w:t>de Capital</w:t>
      </w:r>
    </w:p>
    <w:p w14:paraId="680716A8" w14:textId="6BF557A5" w:rsidR="00A81AE8" w:rsidRPr="00864028" w:rsidRDefault="005F7674" w:rsidP="00A81AE8">
      <w:pPr>
        <w:jc w:val="both"/>
        <w:rPr>
          <w:rFonts w:ascii="Arial" w:hAnsi="Arial" w:cs="Arial"/>
          <w:sz w:val="24"/>
          <w:lang w:val="es-MX"/>
        </w:rPr>
      </w:pPr>
      <w:r>
        <w:rPr>
          <w:rFonts w:ascii="Arial" w:hAnsi="Arial" w:cs="Arial"/>
          <w:sz w:val="24"/>
          <w:lang w:val="es-MX"/>
        </w:rPr>
        <w:t>Los Ingresos de Capital alcanzaron un 71% de ejecución respecto del monto total presupuestado.</w:t>
      </w:r>
      <w:r w:rsidR="0016198A">
        <w:rPr>
          <w:rFonts w:ascii="Arial" w:hAnsi="Arial" w:cs="Arial"/>
          <w:sz w:val="24"/>
          <w:lang w:val="es-MX"/>
        </w:rPr>
        <w:t xml:space="preserve"> Los ingresos percibidos bajo este concepto corresponden a la recuperación del anticipo salarial fundamentado en el artículo N°174 de la Convección Colectiva de Trabajo del Benemérito Cuerpo de Bomberos de Costa Rica. </w:t>
      </w:r>
    </w:p>
    <w:p w14:paraId="7006F0D3" w14:textId="77777777" w:rsidR="00ED11F7" w:rsidRDefault="00ED11F7" w:rsidP="00A81AE8">
      <w:pPr>
        <w:jc w:val="both"/>
        <w:rPr>
          <w:rFonts w:ascii="Arial" w:hAnsi="Arial" w:cs="Arial"/>
          <w:b/>
          <w:sz w:val="24"/>
          <w:lang w:val="es-MX"/>
        </w:rPr>
      </w:pPr>
    </w:p>
    <w:p w14:paraId="7CA71C1F" w14:textId="77777777" w:rsidR="00ED11F7" w:rsidRDefault="00ED11F7" w:rsidP="00A81AE8">
      <w:pPr>
        <w:jc w:val="both"/>
        <w:rPr>
          <w:rFonts w:ascii="Arial" w:hAnsi="Arial" w:cs="Arial"/>
          <w:b/>
          <w:sz w:val="24"/>
          <w:lang w:val="es-MX"/>
        </w:rPr>
      </w:pPr>
    </w:p>
    <w:p w14:paraId="1CD41156" w14:textId="7FBFD04D" w:rsidR="00357938" w:rsidRPr="00357938" w:rsidRDefault="00357938" w:rsidP="00A81AE8">
      <w:pPr>
        <w:jc w:val="both"/>
        <w:rPr>
          <w:rFonts w:ascii="Arial" w:hAnsi="Arial" w:cs="Arial"/>
          <w:b/>
          <w:sz w:val="24"/>
          <w:lang w:val="es-MX"/>
        </w:rPr>
      </w:pPr>
      <w:r w:rsidRPr="00357938">
        <w:rPr>
          <w:rFonts w:ascii="Arial" w:hAnsi="Arial" w:cs="Arial"/>
          <w:b/>
          <w:sz w:val="24"/>
          <w:lang w:val="es-MX"/>
        </w:rPr>
        <w:lastRenderedPageBreak/>
        <w:t>Análisis comparativo de Ingresos</w:t>
      </w:r>
    </w:p>
    <w:p w14:paraId="213F2199" w14:textId="77777777" w:rsidR="00357938" w:rsidRDefault="00357938" w:rsidP="00A81AE8">
      <w:pPr>
        <w:jc w:val="both"/>
        <w:rPr>
          <w:rFonts w:ascii="Arial" w:hAnsi="Arial" w:cs="Arial"/>
          <w:sz w:val="24"/>
          <w:lang w:val="es-MX"/>
        </w:rPr>
      </w:pPr>
    </w:p>
    <w:p w14:paraId="45117B3F" w14:textId="647787BD" w:rsidR="00864028" w:rsidRDefault="00357938" w:rsidP="00A81AE8">
      <w:pPr>
        <w:jc w:val="both"/>
        <w:rPr>
          <w:rFonts w:ascii="Arial" w:hAnsi="Arial" w:cs="Arial"/>
          <w:sz w:val="24"/>
          <w:lang w:val="es-MX"/>
        </w:rPr>
      </w:pPr>
      <w:r>
        <w:rPr>
          <w:rFonts w:ascii="Arial" w:hAnsi="Arial" w:cs="Arial"/>
          <w:sz w:val="24"/>
          <w:lang w:val="es-MX"/>
        </w:rPr>
        <w:t xml:space="preserve">En el siguiente cuadro podemos observar un comparativo de los ingresos al 30 de septiembre </w:t>
      </w:r>
      <w:r w:rsidR="00ED11F7">
        <w:rPr>
          <w:rFonts w:ascii="Arial" w:hAnsi="Arial" w:cs="Arial"/>
          <w:sz w:val="24"/>
          <w:lang w:val="es-MX"/>
        </w:rPr>
        <w:t>de los años</w:t>
      </w:r>
      <w:r>
        <w:rPr>
          <w:rFonts w:ascii="Arial" w:hAnsi="Arial" w:cs="Arial"/>
          <w:sz w:val="24"/>
          <w:lang w:val="es-MX"/>
        </w:rPr>
        <w:t xml:space="preserve"> 2021 y 2022.</w:t>
      </w:r>
    </w:p>
    <w:p w14:paraId="43DBB8D1" w14:textId="1CCB483C" w:rsidR="00357938" w:rsidRDefault="00357938" w:rsidP="00A81AE8">
      <w:pPr>
        <w:jc w:val="both"/>
        <w:rPr>
          <w:rFonts w:ascii="Arial" w:hAnsi="Arial" w:cs="Arial"/>
          <w:sz w:val="24"/>
          <w:lang w:val="es-MX"/>
        </w:rPr>
      </w:pPr>
      <w:r>
        <w:rPr>
          <w:rFonts w:ascii="Arial" w:hAnsi="Arial" w:cs="Arial"/>
          <w:sz w:val="24"/>
          <w:lang w:val="es-MX"/>
        </w:rPr>
        <w:t>Se evidencia un incremento del 9% en total de los ingresos, debido principalmente a la partida de ingresos corrientes.</w:t>
      </w:r>
    </w:p>
    <w:p w14:paraId="42031082" w14:textId="5C373FB8" w:rsidR="00357938" w:rsidRPr="00864028" w:rsidRDefault="00357938" w:rsidP="00A81AE8">
      <w:pPr>
        <w:jc w:val="both"/>
        <w:rPr>
          <w:rFonts w:ascii="Arial" w:hAnsi="Arial" w:cs="Arial"/>
          <w:sz w:val="24"/>
          <w:lang w:val="es-MX"/>
        </w:rPr>
      </w:pPr>
      <w:r>
        <w:rPr>
          <w:rFonts w:ascii="Arial" w:hAnsi="Arial" w:cs="Arial"/>
          <w:sz w:val="24"/>
          <w:lang w:val="es-MX"/>
        </w:rPr>
        <w:t xml:space="preserve">La variación negativa de -47%, reflejada en la línea de Otros ingresos No Tributarios corresponde al cambio en la metodología de recuperación del impuesto al combustible. </w:t>
      </w:r>
    </w:p>
    <w:p w14:paraId="4AB1F1DC" w14:textId="3460967F" w:rsidR="00864028" w:rsidRPr="00864028" w:rsidRDefault="00A81AE8" w:rsidP="00864028">
      <w:pPr>
        <w:rPr>
          <w:rFonts w:ascii="Arial" w:hAnsi="Arial" w:cs="Arial"/>
          <w:sz w:val="24"/>
          <w:lang w:val="es-MX"/>
        </w:rPr>
      </w:pPr>
      <w:r w:rsidRPr="00A81AE8">
        <w:rPr>
          <w:noProof/>
        </w:rPr>
        <w:drawing>
          <wp:anchor distT="0" distB="0" distL="114300" distR="114300" simplePos="0" relativeHeight="251672576" behindDoc="1" locked="0" layoutInCell="1" allowOverlap="1" wp14:anchorId="3BFD999D" wp14:editId="65D8AEE4">
            <wp:simplePos x="0" y="0"/>
            <wp:positionH relativeFrom="margin">
              <wp:align>left</wp:align>
            </wp:positionH>
            <wp:positionV relativeFrom="paragraph">
              <wp:posOffset>0</wp:posOffset>
            </wp:positionV>
            <wp:extent cx="5556250" cy="3275330"/>
            <wp:effectExtent l="0" t="0" r="6350" b="1270"/>
            <wp:wrapTight wrapText="bothSides">
              <wp:wrapPolygon edited="0">
                <wp:start x="9331" y="0"/>
                <wp:lineTo x="6073" y="1005"/>
                <wp:lineTo x="5999" y="1508"/>
                <wp:lineTo x="8368" y="2261"/>
                <wp:lineTo x="8368" y="2387"/>
                <wp:lineTo x="10664" y="4271"/>
                <wp:lineTo x="0" y="4397"/>
                <wp:lineTo x="0" y="21483"/>
                <wp:lineTo x="21551" y="21483"/>
                <wp:lineTo x="21551" y="10804"/>
                <wp:lineTo x="20662" y="10302"/>
                <wp:lineTo x="21403" y="10302"/>
                <wp:lineTo x="21551" y="10050"/>
                <wp:lineTo x="21551" y="4397"/>
                <wp:lineTo x="10960" y="4271"/>
                <wp:lineTo x="13108" y="2387"/>
                <wp:lineTo x="13108" y="2261"/>
                <wp:lineTo x="15552" y="1508"/>
                <wp:lineTo x="15478" y="1131"/>
                <wp:lineTo x="12145" y="0"/>
                <wp:lineTo x="9331"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0318" cy="32901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D3DF16" w14:textId="77777777" w:rsidR="00A81AE8" w:rsidRDefault="00A81AE8" w:rsidP="00864028">
      <w:pPr>
        <w:rPr>
          <w:b/>
          <w:sz w:val="20"/>
          <w:lang w:val="es-MX"/>
        </w:rPr>
      </w:pPr>
    </w:p>
    <w:p w14:paraId="5CD819DD" w14:textId="60280561" w:rsidR="00A81AE8" w:rsidRPr="00A81AE8" w:rsidRDefault="0024751C" w:rsidP="00A81AE8">
      <w:pPr>
        <w:rPr>
          <w:rFonts w:ascii="Arial" w:hAnsi="Arial" w:cs="Arial"/>
          <w:sz w:val="24"/>
          <w:lang w:val="es-MX"/>
        </w:rPr>
      </w:pPr>
      <w:r w:rsidRPr="00F6285B">
        <w:rPr>
          <w:b/>
          <w:sz w:val="20"/>
          <w:lang w:val="es-MX"/>
        </w:rPr>
        <w:t>Fuente:  Área de Gestión de Recursos Económicos</w:t>
      </w:r>
    </w:p>
    <w:p w14:paraId="59819339" w14:textId="77777777" w:rsidR="00A81AE8" w:rsidRDefault="00A81AE8" w:rsidP="00C87440">
      <w:pPr>
        <w:jc w:val="both"/>
        <w:rPr>
          <w:rFonts w:ascii="Arial" w:hAnsi="Arial" w:cs="Arial"/>
          <w:b/>
          <w:sz w:val="24"/>
          <w:lang w:val="es-MX"/>
        </w:rPr>
      </w:pPr>
    </w:p>
    <w:p w14:paraId="0F513B0D" w14:textId="77777777" w:rsidR="006F5F8A" w:rsidRDefault="006F5F8A" w:rsidP="00C87440">
      <w:pPr>
        <w:jc w:val="both"/>
        <w:rPr>
          <w:rFonts w:ascii="Arial" w:hAnsi="Arial" w:cs="Arial"/>
          <w:b/>
          <w:sz w:val="24"/>
          <w:lang w:val="es-MX"/>
        </w:rPr>
      </w:pPr>
    </w:p>
    <w:p w14:paraId="2166AB6F" w14:textId="77777777" w:rsidR="006F5F8A" w:rsidRDefault="006F5F8A" w:rsidP="00C87440">
      <w:pPr>
        <w:jc w:val="both"/>
        <w:rPr>
          <w:rFonts w:ascii="Arial" w:hAnsi="Arial" w:cs="Arial"/>
          <w:b/>
          <w:sz w:val="24"/>
          <w:lang w:val="es-MX"/>
        </w:rPr>
      </w:pPr>
    </w:p>
    <w:p w14:paraId="6B86000C" w14:textId="77777777" w:rsidR="006F5F8A" w:rsidRDefault="006F5F8A" w:rsidP="00C87440">
      <w:pPr>
        <w:jc w:val="both"/>
        <w:rPr>
          <w:rFonts w:ascii="Arial" w:hAnsi="Arial" w:cs="Arial"/>
          <w:b/>
          <w:sz w:val="24"/>
          <w:lang w:val="es-MX"/>
        </w:rPr>
      </w:pPr>
    </w:p>
    <w:p w14:paraId="77DEB1A6" w14:textId="77777777" w:rsidR="006F5F8A" w:rsidRDefault="006F5F8A" w:rsidP="00C87440">
      <w:pPr>
        <w:jc w:val="both"/>
        <w:rPr>
          <w:rFonts w:ascii="Arial" w:hAnsi="Arial" w:cs="Arial"/>
          <w:b/>
          <w:sz w:val="24"/>
          <w:lang w:val="es-MX"/>
        </w:rPr>
      </w:pPr>
    </w:p>
    <w:p w14:paraId="2AF0D9D6" w14:textId="77777777" w:rsidR="006F5F8A" w:rsidRDefault="006F5F8A" w:rsidP="00C87440">
      <w:pPr>
        <w:jc w:val="both"/>
        <w:rPr>
          <w:rFonts w:ascii="Arial" w:hAnsi="Arial" w:cs="Arial"/>
          <w:b/>
          <w:sz w:val="24"/>
          <w:lang w:val="es-MX"/>
        </w:rPr>
      </w:pPr>
    </w:p>
    <w:p w14:paraId="126C93E6" w14:textId="77777777" w:rsidR="006F5F8A" w:rsidRDefault="006F5F8A" w:rsidP="00C87440">
      <w:pPr>
        <w:jc w:val="both"/>
        <w:rPr>
          <w:rFonts w:ascii="Arial" w:hAnsi="Arial" w:cs="Arial"/>
          <w:b/>
          <w:sz w:val="24"/>
          <w:lang w:val="es-MX"/>
        </w:rPr>
      </w:pPr>
    </w:p>
    <w:p w14:paraId="34527289" w14:textId="77777777" w:rsidR="006F5F8A" w:rsidRDefault="006F5F8A" w:rsidP="00C87440">
      <w:pPr>
        <w:jc w:val="both"/>
        <w:rPr>
          <w:rFonts w:ascii="Arial" w:hAnsi="Arial" w:cs="Arial"/>
          <w:b/>
          <w:sz w:val="24"/>
          <w:lang w:val="es-MX"/>
        </w:rPr>
      </w:pPr>
    </w:p>
    <w:p w14:paraId="6C3D81A0" w14:textId="04D68254" w:rsidR="00E306CE" w:rsidRPr="00C87440" w:rsidRDefault="00FB1B9C" w:rsidP="00C87440">
      <w:pPr>
        <w:jc w:val="both"/>
        <w:rPr>
          <w:rFonts w:ascii="Arial" w:hAnsi="Arial" w:cs="Arial"/>
          <w:b/>
          <w:sz w:val="24"/>
          <w:lang w:val="es-MX"/>
        </w:rPr>
      </w:pPr>
      <w:r w:rsidRPr="00C87440">
        <w:rPr>
          <w:rFonts w:ascii="Arial" w:hAnsi="Arial" w:cs="Arial"/>
          <w:b/>
          <w:sz w:val="24"/>
          <w:lang w:val="es-MX"/>
        </w:rPr>
        <w:lastRenderedPageBreak/>
        <w:t>Ejecución presupuestaria de ingresos 2019-2022</w:t>
      </w:r>
    </w:p>
    <w:p w14:paraId="0EA2D695" w14:textId="16D38BCF" w:rsidR="0000796D" w:rsidRDefault="00FB1B9C" w:rsidP="006F1AAB">
      <w:pPr>
        <w:jc w:val="both"/>
        <w:rPr>
          <w:rFonts w:ascii="Arial" w:hAnsi="Arial" w:cs="Arial"/>
          <w:sz w:val="24"/>
          <w:lang w:val="es-MX"/>
        </w:rPr>
      </w:pPr>
      <w:r>
        <w:rPr>
          <w:rFonts w:ascii="Arial" w:hAnsi="Arial" w:cs="Arial"/>
          <w:sz w:val="24"/>
          <w:lang w:val="es-MX"/>
        </w:rPr>
        <w:t>En el gráfico No.</w:t>
      </w:r>
      <w:r w:rsidR="003504A6">
        <w:rPr>
          <w:rFonts w:ascii="Arial" w:hAnsi="Arial" w:cs="Arial"/>
          <w:sz w:val="24"/>
          <w:lang w:val="es-MX"/>
        </w:rPr>
        <w:t>4</w:t>
      </w:r>
      <w:r>
        <w:rPr>
          <w:rFonts w:ascii="Arial" w:hAnsi="Arial" w:cs="Arial"/>
          <w:sz w:val="24"/>
          <w:lang w:val="es-MX"/>
        </w:rPr>
        <w:t>, se muestra detalle de la ejecución presupuestaria, a nivel de ingresos, de los períodos 2019-2022 al 30</w:t>
      </w:r>
      <w:r w:rsidR="0000796D">
        <w:rPr>
          <w:rFonts w:ascii="Arial" w:hAnsi="Arial" w:cs="Arial"/>
          <w:sz w:val="24"/>
          <w:lang w:val="es-MX"/>
        </w:rPr>
        <w:t xml:space="preserve"> de setiembre de cada </w:t>
      </w:r>
      <w:r w:rsidR="00357938">
        <w:rPr>
          <w:rFonts w:ascii="Arial" w:hAnsi="Arial" w:cs="Arial"/>
          <w:sz w:val="24"/>
          <w:lang w:val="es-MX"/>
        </w:rPr>
        <w:t>año</w:t>
      </w:r>
      <w:r w:rsidR="0000796D">
        <w:rPr>
          <w:rFonts w:ascii="Arial" w:hAnsi="Arial" w:cs="Arial"/>
          <w:sz w:val="24"/>
          <w:lang w:val="es-MX"/>
        </w:rPr>
        <w:t>, donde los ingresos corrientes muestran una tendencia de crec</w:t>
      </w:r>
      <w:r w:rsidR="00C87440">
        <w:rPr>
          <w:rFonts w:ascii="Arial" w:hAnsi="Arial" w:cs="Arial"/>
          <w:sz w:val="24"/>
          <w:lang w:val="es-MX"/>
        </w:rPr>
        <w:t xml:space="preserve">imiento sostenido durante los años 2019 al 2021, sin </w:t>
      </w:r>
      <w:r w:rsidR="006F1AAB">
        <w:rPr>
          <w:rFonts w:ascii="Arial" w:hAnsi="Arial" w:cs="Arial"/>
          <w:sz w:val="24"/>
          <w:lang w:val="es-MX"/>
        </w:rPr>
        <w:t>embargo,</w:t>
      </w:r>
      <w:r w:rsidR="00C87440">
        <w:rPr>
          <w:rFonts w:ascii="Arial" w:hAnsi="Arial" w:cs="Arial"/>
          <w:sz w:val="24"/>
          <w:lang w:val="es-MX"/>
        </w:rPr>
        <w:t xml:space="preserve"> para el período 2022 se refleja un incremento</w:t>
      </w:r>
      <w:r w:rsidR="006F1AAB">
        <w:rPr>
          <w:rFonts w:ascii="Arial" w:hAnsi="Arial" w:cs="Arial"/>
          <w:sz w:val="24"/>
          <w:lang w:val="es-MX"/>
        </w:rPr>
        <w:t xml:space="preserve"> del 9% con respecto al año 2021, </w:t>
      </w:r>
      <w:r w:rsidR="00EC3D28">
        <w:rPr>
          <w:rFonts w:ascii="Arial" w:hAnsi="Arial" w:cs="Arial"/>
          <w:sz w:val="24"/>
          <w:lang w:val="es-MX"/>
        </w:rPr>
        <w:t>de acuerdo con</w:t>
      </w:r>
      <w:r w:rsidR="006F1AAB">
        <w:rPr>
          <w:rFonts w:ascii="Arial" w:hAnsi="Arial" w:cs="Arial"/>
          <w:sz w:val="24"/>
          <w:lang w:val="es-MX"/>
        </w:rPr>
        <w:t xml:space="preserve"> lo</w:t>
      </w:r>
      <w:r w:rsidR="00EC3D28">
        <w:rPr>
          <w:rFonts w:ascii="Arial" w:hAnsi="Arial" w:cs="Arial"/>
          <w:sz w:val="24"/>
          <w:lang w:val="es-MX"/>
        </w:rPr>
        <w:t>s</w:t>
      </w:r>
      <w:r w:rsidR="006F1AAB">
        <w:rPr>
          <w:rFonts w:ascii="Arial" w:hAnsi="Arial" w:cs="Arial"/>
          <w:sz w:val="24"/>
          <w:lang w:val="es-MX"/>
        </w:rPr>
        <w:t xml:space="preserve"> registros</w:t>
      </w:r>
      <w:r w:rsidR="00EC3D28">
        <w:rPr>
          <w:rFonts w:ascii="Arial" w:hAnsi="Arial" w:cs="Arial"/>
          <w:sz w:val="24"/>
          <w:lang w:val="es-MX"/>
        </w:rPr>
        <w:t>,</w:t>
      </w:r>
      <w:r w:rsidR="006F1AAB">
        <w:rPr>
          <w:rFonts w:ascii="Arial" w:hAnsi="Arial" w:cs="Arial"/>
          <w:sz w:val="24"/>
          <w:lang w:val="es-MX"/>
        </w:rPr>
        <w:t xml:space="preserve"> el aumento se presenta específicamente en los ingresos percibido</w:t>
      </w:r>
      <w:r w:rsidR="00EC3D28">
        <w:rPr>
          <w:rFonts w:ascii="Arial" w:hAnsi="Arial" w:cs="Arial"/>
          <w:sz w:val="24"/>
          <w:lang w:val="es-MX"/>
        </w:rPr>
        <w:t>s</w:t>
      </w:r>
      <w:r w:rsidR="006F1AAB">
        <w:rPr>
          <w:rFonts w:ascii="Arial" w:hAnsi="Arial" w:cs="Arial"/>
          <w:sz w:val="24"/>
          <w:lang w:val="es-MX"/>
        </w:rPr>
        <w:t xml:space="preserve"> por concepto del aporte del 4%</w:t>
      </w:r>
      <w:r w:rsidR="00EC3D28">
        <w:rPr>
          <w:rFonts w:ascii="Arial" w:hAnsi="Arial" w:cs="Arial"/>
          <w:sz w:val="24"/>
          <w:lang w:val="es-MX"/>
        </w:rPr>
        <w:t xml:space="preserve"> de las primas de seguros.</w:t>
      </w:r>
    </w:p>
    <w:p w14:paraId="194922FF" w14:textId="67923301" w:rsidR="00A81AE8" w:rsidRDefault="00A81AE8" w:rsidP="004D1F30">
      <w:pPr>
        <w:jc w:val="center"/>
        <w:rPr>
          <w:rFonts w:ascii="Arial" w:hAnsi="Arial" w:cs="Arial"/>
          <w:sz w:val="24"/>
          <w:lang w:val="es-MX"/>
        </w:rPr>
      </w:pPr>
      <w:r w:rsidRPr="0000796D">
        <w:rPr>
          <w:b/>
          <w:noProof/>
          <w:lang w:eastAsia="es-CR"/>
        </w:rPr>
        <w:drawing>
          <wp:anchor distT="0" distB="0" distL="114300" distR="114300" simplePos="0" relativeHeight="251673600" behindDoc="1" locked="0" layoutInCell="1" allowOverlap="1" wp14:anchorId="123EEDA3" wp14:editId="1250E55F">
            <wp:simplePos x="0" y="0"/>
            <wp:positionH relativeFrom="margin">
              <wp:align>center</wp:align>
            </wp:positionH>
            <wp:positionV relativeFrom="paragraph">
              <wp:posOffset>53202</wp:posOffset>
            </wp:positionV>
            <wp:extent cx="4317365" cy="2106930"/>
            <wp:effectExtent l="0" t="0" r="6985" b="7620"/>
            <wp:wrapTight wrapText="bothSides">
              <wp:wrapPolygon edited="0">
                <wp:start x="0" y="0"/>
                <wp:lineTo x="0" y="21483"/>
                <wp:lineTo x="21540" y="21483"/>
                <wp:lineTo x="21540" y="0"/>
                <wp:lineTo x="0" y="0"/>
              </wp:wrapPolygon>
            </wp:wrapTight>
            <wp:docPr id="10" name="Gráfico 10">
              <a:extLst xmlns:a="http://schemas.openxmlformats.org/drawingml/2006/main">
                <a:ext uri="{FF2B5EF4-FFF2-40B4-BE49-F238E27FC236}">
                  <a16:creationId xmlns:a16="http://schemas.microsoft.com/office/drawing/2014/main" id="{F4E12BA9-BFF1-4D14-8ACD-C144F95F24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46584A17" w14:textId="213A3E9F" w:rsidR="00A81AE8" w:rsidRDefault="00A81AE8" w:rsidP="004D1F30">
      <w:pPr>
        <w:jc w:val="center"/>
        <w:rPr>
          <w:rFonts w:ascii="Arial" w:hAnsi="Arial" w:cs="Arial"/>
          <w:sz w:val="24"/>
          <w:lang w:val="es-MX"/>
        </w:rPr>
      </w:pPr>
    </w:p>
    <w:p w14:paraId="6198F65F" w14:textId="42E1B2B9" w:rsidR="001416BF" w:rsidRDefault="001416BF" w:rsidP="004D1F30">
      <w:pPr>
        <w:jc w:val="center"/>
        <w:rPr>
          <w:rFonts w:ascii="Arial" w:hAnsi="Arial" w:cs="Arial"/>
          <w:sz w:val="24"/>
          <w:lang w:val="es-MX"/>
        </w:rPr>
      </w:pPr>
    </w:p>
    <w:p w14:paraId="687C54C7" w14:textId="77777777" w:rsidR="006F5F8A" w:rsidRDefault="00035E1E" w:rsidP="00035E1E">
      <w:pPr>
        <w:pStyle w:val="Ttulo2"/>
        <w:rPr>
          <w:rFonts w:ascii="Arial" w:hAnsi="Arial" w:cs="Arial"/>
          <w:b/>
          <w:bCs/>
          <w:color w:val="000000" w:themeColor="text1"/>
          <w:sz w:val="28"/>
          <w:szCs w:val="28"/>
          <w:u w:val="single"/>
          <w:lang w:val="es-MX"/>
        </w:rPr>
      </w:pPr>
      <w:r w:rsidRPr="00035E1E">
        <w:rPr>
          <w:rFonts w:ascii="Arial" w:hAnsi="Arial" w:cs="Arial"/>
          <w:b/>
          <w:bCs/>
          <w:color w:val="000000" w:themeColor="text1"/>
          <w:sz w:val="28"/>
          <w:szCs w:val="28"/>
          <w:u w:val="single"/>
          <w:lang w:val="es-MX"/>
        </w:rPr>
        <w:t xml:space="preserve"> </w:t>
      </w:r>
    </w:p>
    <w:p w14:paraId="51293E17" w14:textId="77777777" w:rsidR="006F5F8A" w:rsidRDefault="006F5F8A" w:rsidP="00035E1E">
      <w:pPr>
        <w:pStyle w:val="Ttulo2"/>
        <w:rPr>
          <w:rFonts w:ascii="Arial" w:hAnsi="Arial" w:cs="Arial"/>
          <w:b/>
          <w:bCs/>
          <w:color w:val="000000" w:themeColor="text1"/>
          <w:sz w:val="28"/>
          <w:szCs w:val="28"/>
          <w:u w:val="single"/>
          <w:lang w:val="es-MX"/>
        </w:rPr>
      </w:pPr>
    </w:p>
    <w:p w14:paraId="48336810" w14:textId="77777777" w:rsidR="006F5F8A" w:rsidRDefault="006F5F8A" w:rsidP="00035E1E">
      <w:pPr>
        <w:pStyle w:val="Ttulo2"/>
        <w:rPr>
          <w:rFonts w:ascii="Arial" w:hAnsi="Arial" w:cs="Arial"/>
          <w:b/>
          <w:bCs/>
          <w:color w:val="000000" w:themeColor="text1"/>
          <w:sz w:val="28"/>
          <w:szCs w:val="28"/>
          <w:u w:val="single"/>
          <w:lang w:val="es-MX"/>
        </w:rPr>
      </w:pPr>
    </w:p>
    <w:p w14:paraId="6E0EF045" w14:textId="77777777" w:rsidR="006F5F8A" w:rsidRDefault="006F5F8A" w:rsidP="00035E1E">
      <w:pPr>
        <w:pStyle w:val="Ttulo2"/>
        <w:rPr>
          <w:rFonts w:ascii="Arial" w:hAnsi="Arial" w:cs="Arial"/>
          <w:b/>
          <w:bCs/>
          <w:color w:val="000000" w:themeColor="text1"/>
          <w:sz w:val="28"/>
          <w:szCs w:val="28"/>
          <w:u w:val="single"/>
          <w:lang w:val="es-MX"/>
        </w:rPr>
      </w:pPr>
    </w:p>
    <w:p w14:paraId="68DF4566" w14:textId="77777777" w:rsidR="006F5F8A" w:rsidRDefault="006F5F8A" w:rsidP="00035E1E">
      <w:pPr>
        <w:pStyle w:val="Ttulo2"/>
        <w:rPr>
          <w:rFonts w:ascii="Arial" w:hAnsi="Arial" w:cs="Arial"/>
          <w:b/>
          <w:bCs/>
          <w:color w:val="000000" w:themeColor="text1"/>
          <w:sz w:val="28"/>
          <w:szCs w:val="28"/>
          <w:u w:val="single"/>
          <w:lang w:val="es-MX"/>
        </w:rPr>
      </w:pPr>
    </w:p>
    <w:p w14:paraId="4E2C9643" w14:textId="31237EB9" w:rsidR="006F5F8A" w:rsidRDefault="006F5F8A" w:rsidP="00035E1E">
      <w:pPr>
        <w:pStyle w:val="Ttulo2"/>
        <w:rPr>
          <w:rFonts w:ascii="Arial" w:hAnsi="Arial" w:cs="Arial"/>
          <w:b/>
          <w:bCs/>
          <w:color w:val="000000" w:themeColor="text1"/>
          <w:sz w:val="28"/>
          <w:szCs w:val="28"/>
          <w:u w:val="single"/>
          <w:lang w:val="es-MX"/>
        </w:rPr>
      </w:pPr>
    </w:p>
    <w:p w14:paraId="39C15693" w14:textId="31EA7DFA" w:rsidR="00566AD3" w:rsidRPr="00990515" w:rsidRDefault="00990515" w:rsidP="00990515">
      <w:pPr>
        <w:jc w:val="both"/>
        <w:rPr>
          <w:rFonts w:ascii="Arial" w:hAnsi="Arial" w:cs="Arial"/>
          <w:sz w:val="24"/>
          <w:lang w:val="es-MX"/>
        </w:rPr>
      </w:pPr>
      <w:r>
        <w:rPr>
          <w:rFonts w:ascii="Arial" w:hAnsi="Arial" w:cs="Arial"/>
          <w:sz w:val="24"/>
          <w:lang w:val="es-MX"/>
        </w:rPr>
        <w:t>En cuanto a la evaluación general, se observa que el porcentaje de ejecución alcanzada al 30 de setiembre 2022 s</w:t>
      </w:r>
      <w:r>
        <w:rPr>
          <w:rFonts w:ascii="Arial" w:hAnsi="Arial" w:cs="Arial"/>
          <w:sz w:val="24"/>
          <w:lang w:val="es-MX"/>
        </w:rPr>
        <w:t xml:space="preserve">upera </w:t>
      </w:r>
      <w:r>
        <w:rPr>
          <w:rFonts w:ascii="Arial" w:hAnsi="Arial" w:cs="Arial"/>
          <w:sz w:val="24"/>
          <w:lang w:val="es-MX"/>
        </w:rPr>
        <w:t>el porcentaje esperado considerando</w:t>
      </w:r>
      <w:r>
        <w:rPr>
          <w:rFonts w:ascii="Arial" w:hAnsi="Arial" w:cs="Arial"/>
          <w:sz w:val="24"/>
          <w:lang w:val="es-MX"/>
        </w:rPr>
        <w:t xml:space="preserve"> el comportamiento de los últimos períodos</w:t>
      </w:r>
      <w:r>
        <w:rPr>
          <w:rFonts w:ascii="Arial" w:hAnsi="Arial" w:cs="Arial"/>
          <w:sz w:val="24"/>
          <w:lang w:val="es-MX"/>
        </w:rPr>
        <w:t>.</w:t>
      </w:r>
    </w:p>
    <w:p w14:paraId="6241ACE7" w14:textId="4C252E88" w:rsidR="00566AD3" w:rsidRPr="00566AD3" w:rsidRDefault="00990515" w:rsidP="00566AD3">
      <w:pPr>
        <w:rPr>
          <w:lang w:val="es-MX"/>
        </w:rPr>
      </w:pPr>
      <w:r w:rsidRPr="00990515">
        <w:drawing>
          <wp:inline distT="0" distB="0" distL="0" distR="0" wp14:anchorId="17BFC9E6" wp14:editId="3C5B8E54">
            <wp:extent cx="5612130" cy="928815"/>
            <wp:effectExtent l="0" t="0" r="0" b="508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928815"/>
                    </a:xfrm>
                    <a:prstGeom prst="rect">
                      <a:avLst/>
                    </a:prstGeom>
                    <a:noFill/>
                    <a:ln>
                      <a:noFill/>
                    </a:ln>
                  </pic:spPr>
                </pic:pic>
              </a:graphicData>
            </a:graphic>
          </wp:inline>
        </w:drawing>
      </w:r>
    </w:p>
    <w:p w14:paraId="0EB727FB" w14:textId="643AB54D" w:rsidR="006F5F8A" w:rsidRDefault="006F5F8A" w:rsidP="00035E1E">
      <w:pPr>
        <w:pStyle w:val="Ttulo2"/>
        <w:rPr>
          <w:rFonts w:ascii="Arial" w:hAnsi="Arial" w:cs="Arial"/>
          <w:b/>
          <w:bCs/>
          <w:color w:val="000000" w:themeColor="text1"/>
          <w:sz w:val="28"/>
          <w:szCs w:val="28"/>
          <w:u w:val="single"/>
          <w:lang w:val="es-MX"/>
        </w:rPr>
      </w:pPr>
    </w:p>
    <w:p w14:paraId="3B4A4A47" w14:textId="77777777" w:rsidR="00566AD3" w:rsidRPr="00566AD3" w:rsidRDefault="00566AD3" w:rsidP="00566AD3">
      <w:pPr>
        <w:rPr>
          <w:lang w:val="es-MX"/>
        </w:rPr>
      </w:pPr>
    </w:p>
    <w:p w14:paraId="44307B3F" w14:textId="77777777" w:rsidR="00C77D2D" w:rsidRDefault="00035E1E" w:rsidP="00035E1E">
      <w:pPr>
        <w:pStyle w:val="Ttulo2"/>
        <w:rPr>
          <w:rFonts w:ascii="Arial" w:hAnsi="Arial" w:cs="Arial"/>
          <w:b/>
          <w:bCs/>
          <w:color w:val="000000" w:themeColor="text1"/>
          <w:sz w:val="28"/>
          <w:szCs w:val="28"/>
          <w:u w:val="single"/>
          <w:lang w:val="es-MX"/>
        </w:rPr>
      </w:pPr>
      <w:bookmarkStart w:id="6" w:name="_Toc115779849"/>
      <w:r>
        <w:rPr>
          <w:rFonts w:ascii="Arial" w:hAnsi="Arial" w:cs="Arial"/>
          <w:b/>
          <w:bCs/>
          <w:color w:val="000000" w:themeColor="text1"/>
          <w:sz w:val="28"/>
          <w:szCs w:val="28"/>
          <w:u w:val="single"/>
          <w:lang w:val="es-MX"/>
        </w:rPr>
        <w:t>B</w:t>
      </w:r>
      <w:r w:rsidR="006F5F8A">
        <w:rPr>
          <w:rFonts w:ascii="Arial" w:hAnsi="Arial" w:cs="Arial"/>
          <w:b/>
          <w:bCs/>
          <w:color w:val="000000" w:themeColor="text1"/>
          <w:sz w:val="28"/>
          <w:szCs w:val="28"/>
          <w:u w:val="single"/>
          <w:lang w:val="es-MX"/>
        </w:rPr>
        <w:t>.</w:t>
      </w:r>
      <w:r w:rsidR="009313EB">
        <w:rPr>
          <w:rFonts w:ascii="Arial" w:hAnsi="Arial" w:cs="Arial"/>
          <w:b/>
          <w:bCs/>
          <w:color w:val="000000" w:themeColor="text1"/>
          <w:sz w:val="28"/>
          <w:szCs w:val="28"/>
          <w:u w:val="single"/>
          <w:lang w:val="es-MX"/>
        </w:rPr>
        <w:t xml:space="preserve"> </w:t>
      </w:r>
      <w:r w:rsidR="00C77D2D" w:rsidRPr="00035E1E">
        <w:rPr>
          <w:rFonts w:ascii="Arial" w:hAnsi="Arial" w:cs="Arial"/>
          <w:b/>
          <w:bCs/>
          <w:color w:val="000000" w:themeColor="text1"/>
          <w:sz w:val="28"/>
          <w:szCs w:val="28"/>
          <w:u w:val="single"/>
          <w:lang w:val="es-MX"/>
        </w:rPr>
        <w:t>EGRESOS</w:t>
      </w:r>
      <w:bookmarkEnd w:id="6"/>
    </w:p>
    <w:p w14:paraId="07B284C1" w14:textId="77777777" w:rsidR="00035E1E" w:rsidRPr="00035E1E" w:rsidRDefault="00035E1E" w:rsidP="00035E1E">
      <w:pPr>
        <w:rPr>
          <w:lang w:val="es-MX"/>
        </w:rPr>
      </w:pPr>
    </w:p>
    <w:p w14:paraId="12F4E679" w14:textId="77777777" w:rsidR="00AE3CEB" w:rsidRDefault="00AE3CEB" w:rsidP="00AE3CEB">
      <w:pPr>
        <w:spacing w:line="276" w:lineRule="auto"/>
        <w:contextualSpacing/>
        <w:jc w:val="both"/>
        <w:rPr>
          <w:rFonts w:ascii="Arial" w:eastAsia="Arial" w:hAnsi="Arial" w:cs="Arial"/>
          <w:sz w:val="24"/>
          <w:szCs w:val="24"/>
          <w:lang w:val="es-ES"/>
        </w:rPr>
      </w:pPr>
      <w:r w:rsidRPr="00B3451B">
        <w:rPr>
          <w:rFonts w:ascii="Arial" w:eastAsia="Arial" w:hAnsi="Arial" w:cs="Arial"/>
          <w:sz w:val="24"/>
          <w:szCs w:val="24"/>
          <w:lang w:val="es-ES"/>
        </w:rPr>
        <w:t>Los egresos presupuestados para el 2022 ascienden a ¢44,877 millones de colones, administrado a través de un único programa presupuestario que abarca tanto el quehacer sustantivo como las actividades administrativas y de apoyo, para efectos de lo cual se encuentra dividido en 4 subprogramas, Dirección General, Dirección Administrativa, Dirección Operativa y Auditoría.</w:t>
      </w:r>
    </w:p>
    <w:p w14:paraId="583A677A" w14:textId="77777777" w:rsidR="00AE3CEB" w:rsidRDefault="00AE3CEB" w:rsidP="00AE3CEB">
      <w:pPr>
        <w:spacing w:line="276" w:lineRule="auto"/>
        <w:contextualSpacing/>
        <w:jc w:val="both"/>
        <w:rPr>
          <w:rFonts w:ascii="Arial" w:eastAsia="Arial" w:hAnsi="Arial" w:cs="Arial"/>
          <w:sz w:val="24"/>
          <w:szCs w:val="24"/>
          <w:lang w:val="es-ES"/>
        </w:rPr>
      </w:pPr>
    </w:p>
    <w:p w14:paraId="53A0A403" w14:textId="77777777" w:rsidR="00C77D2D" w:rsidRDefault="00C77D2D" w:rsidP="00C77D2D">
      <w:pPr>
        <w:rPr>
          <w:rFonts w:ascii="Arial" w:hAnsi="Arial" w:cs="Arial"/>
          <w:sz w:val="24"/>
          <w:lang w:val="es-MX"/>
        </w:rPr>
      </w:pPr>
      <w:r>
        <w:rPr>
          <w:rFonts w:ascii="Arial" w:hAnsi="Arial" w:cs="Arial"/>
          <w:sz w:val="24"/>
          <w:lang w:val="es-MX"/>
        </w:rPr>
        <w:lastRenderedPageBreak/>
        <w:t xml:space="preserve">A continuación, se presenta informe de ejecución de egresos por objeto del gasto y su importancia relativa. </w:t>
      </w:r>
    </w:p>
    <w:p w14:paraId="54C0E81F" w14:textId="77777777" w:rsidR="00C77D2D" w:rsidRDefault="00C77D2D" w:rsidP="00C77D2D">
      <w:pPr>
        <w:rPr>
          <w:rFonts w:ascii="Arial" w:hAnsi="Arial" w:cs="Arial"/>
          <w:sz w:val="24"/>
          <w:lang w:val="es-MX"/>
        </w:rPr>
      </w:pPr>
    </w:p>
    <w:p w14:paraId="0795CFB9" w14:textId="477A79AB" w:rsidR="001416BF" w:rsidRPr="00A9473C" w:rsidRDefault="00172755" w:rsidP="00C77D2D">
      <w:pPr>
        <w:rPr>
          <w:rFonts w:ascii="Arial" w:hAnsi="Arial" w:cs="Arial"/>
          <w:sz w:val="24"/>
          <w:lang w:val="es-MX"/>
        </w:rPr>
      </w:pPr>
      <w:r w:rsidRPr="00172755">
        <w:rPr>
          <w:noProof/>
        </w:rPr>
        <w:drawing>
          <wp:inline distT="0" distB="0" distL="0" distR="0" wp14:anchorId="311E0D9A" wp14:editId="2602643C">
            <wp:extent cx="5612130" cy="2696532"/>
            <wp:effectExtent l="0" t="0" r="7620"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2696532"/>
                    </a:xfrm>
                    <a:prstGeom prst="rect">
                      <a:avLst/>
                    </a:prstGeom>
                    <a:noFill/>
                    <a:ln>
                      <a:noFill/>
                    </a:ln>
                  </pic:spPr>
                </pic:pic>
              </a:graphicData>
            </a:graphic>
          </wp:inline>
        </w:drawing>
      </w:r>
    </w:p>
    <w:p w14:paraId="194E933F" w14:textId="77777777" w:rsidR="00A9473C" w:rsidRDefault="001416BF" w:rsidP="00AE3CEB">
      <w:pPr>
        <w:rPr>
          <w:rFonts w:ascii="Arial" w:hAnsi="Arial" w:cs="Arial"/>
          <w:sz w:val="24"/>
          <w:lang w:val="es-MX"/>
        </w:rPr>
      </w:pPr>
      <w:r w:rsidRPr="00F6285B">
        <w:rPr>
          <w:b/>
          <w:sz w:val="20"/>
          <w:lang w:val="es-MX"/>
        </w:rPr>
        <w:t>Fuente:  Área de Gestión de Recursos Económicos</w:t>
      </w:r>
      <w:r>
        <w:rPr>
          <w:rFonts w:ascii="Arial" w:hAnsi="Arial" w:cs="Arial"/>
          <w:sz w:val="24"/>
          <w:lang w:val="es-MX"/>
        </w:rPr>
        <w:t xml:space="preserve"> </w:t>
      </w:r>
    </w:p>
    <w:p w14:paraId="7673A3B6" w14:textId="77777777" w:rsidR="00AE3CEB" w:rsidRDefault="00AE3CEB" w:rsidP="00AE3CEB">
      <w:pPr>
        <w:rPr>
          <w:rFonts w:ascii="Arial" w:hAnsi="Arial" w:cs="Arial"/>
          <w:sz w:val="24"/>
          <w:lang w:val="es-MX"/>
        </w:rPr>
      </w:pPr>
    </w:p>
    <w:p w14:paraId="240746A4" w14:textId="46D9C9AE" w:rsidR="00476C95" w:rsidRPr="008E0AD9" w:rsidRDefault="00CB4CA7" w:rsidP="008E0AD9">
      <w:pPr>
        <w:jc w:val="both"/>
        <w:rPr>
          <w:rFonts w:ascii="Arial" w:hAnsi="Arial" w:cs="Arial"/>
          <w:sz w:val="24"/>
          <w:lang w:val="es-MX"/>
        </w:rPr>
      </w:pPr>
      <w:r>
        <w:rPr>
          <w:rFonts w:ascii="Arial" w:hAnsi="Arial" w:cs="Arial"/>
          <w:sz w:val="24"/>
          <w:lang w:val="es-MX"/>
        </w:rPr>
        <w:t xml:space="preserve">Según </w:t>
      </w:r>
      <w:r w:rsidRPr="00CB4CA7">
        <w:rPr>
          <w:rFonts w:ascii="Arial" w:hAnsi="Arial" w:cs="Arial"/>
          <w:sz w:val="24"/>
          <w:lang w:val="es-MX"/>
        </w:rPr>
        <w:t xml:space="preserve">se muestra en el </w:t>
      </w:r>
      <w:r>
        <w:rPr>
          <w:rFonts w:ascii="Arial" w:hAnsi="Arial" w:cs="Arial"/>
          <w:sz w:val="24"/>
          <w:lang w:val="es-MX"/>
        </w:rPr>
        <w:t>cuadro No.</w:t>
      </w:r>
      <w:r w:rsidR="003504A6">
        <w:rPr>
          <w:rFonts w:ascii="Arial" w:hAnsi="Arial" w:cs="Arial"/>
          <w:sz w:val="24"/>
          <w:lang w:val="es-MX"/>
        </w:rPr>
        <w:t>4</w:t>
      </w:r>
      <w:r>
        <w:rPr>
          <w:rFonts w:ascii="Arial" w:hAnsi="Arial" w:cs="Arial"/>
          <w:sz w:val="24"/>
          <w:lang w:val="es-MX"/>
        </w:rPr>
        <w:t>, la partida de mayor participación es la de “Remuneraciones” con un presupuesto de ¢16,107</w:t>
      </w:r>
      <w:r w:rsidR="0023240D">
        <w:rPr>
          <w:rFonts w:ascii="Arial" w:hAnsi="Arial" w:cs="Arial"/>
          <w:sz w:val="24"/>
          <w:lang w:val="es-MX"/>
        </w:rPr>
        <w:t xml:space="preserve"> </w:t>
      </w:r>
      <w:r>
        <w:rPr>
          <w:rFonts w:ascii="Arial" w:hAnsi="Arial" w:cs="Arial"/>
          <w:sz w:val="24"/>
          <w:lang w:val="es-MX"/>
        </w:rPr>
        <w:t>millones</w:t>
      </w:r>
      <w:r w:rsidR="0023240D">
        <w:rPr>
          <w:rFonts w:ascii="Arial" w:hAnsi="Arial" w:cs="Arial"/>
          <w:sz w:val="24"/>
          <w:lang w:val="es-MX"/>
        </w:rPr>
        <w:t xml:space="preserve"> de colones</w:t>
      </w:r>
      <w:r>
        <w:rPr>
          <w:rFonts w:ascii="Arial" w:hAnsi="Arial" w:cs="Arial"/>
          <w:sz w:val="24"/>
          <w:lang w:val="es-MX"/>
        </w:rPr>
        <w:t xml:space="preserve">, equivalente a un 55% del </w:t>
      </w:r>
      <w:r w:rsidR="004135EE">
        <w:rPr>
          <w:rFonts w:ascii="Arial" w:hAnsi="Arial" w:cs="Arial"/>
          <w:sz w:val="24"/>
          <w:lang w:val="es-MX"/>
        </w:rPr>
        <w:t xml:space="preserve">presupuesto </w:t>
      </w:r>
      <w:r>
        <w:rPr>
          <w:rFonts w:ascii="Arial" w:hAnsi="Arial" w:cs="Arial"/>
          <w:sz w:val="24"/>
          <w:lang w:val="es-MX"/>
        </w:rPr>
        <w:t xml:space="preserve">total </w:t>
      </w:r>
      <w:r w:rsidR="004135EE">
        <w:rPr>
          <w:rFonts w:ascii="Arial" w:hAnsi="Arial" w:cs="Arial"/>
          <w:sz w:val="24"/>
          <w:lang w:val="es-MX"/>
        </w:rPr>
        <w:t xml:space="preserve">asignado, cuya ejecución alcanzó un 73%, derivado de los pagos relacionados con el personal técnico, administrativo y operativo, así como las deducciones por cargas patronales. </w:t>
      </w:r>
    </w:p>
    <w:p w14:paraId="462DD1D4" w14:textId="551DCDD0" w:rsidR="00476C95" w:rsidRDefault="00476C95" w:rsidP="00AE3CEB">
      <w:pPr>
        <w:spacing w:line="276" w:lineRule="auto"/>
        <w:contextualSpacing/>
        <w:jc w:val="both"/>
        <w:rPr>
          <w:rFonts w:ascii="Arial" w:eastAsia="Arial" w:hAnsi="Arial" w:cs="Arial"/>
          <w:sz w:val="24"/>
          <w:szCs w:val="24"/>
          <w:lang w:val="es-ES"/>
        </w:rPr>
      </w:pPr>
      <w:r>
        <w:rPr>
          <w:rFonts w:ascii="Arial" w:eastAsia="Arial" w:hAnsi="Arial" w:cs="Arial"/>
          <w:sz w:val="24"/>
          <w:szCs w:val="24"/>
          <w:lang w:val="es-ES"/>
        </w:rPr>
        <w:t>Asimismo</w:t>
      </w:r>
      <w:r w:rsidR="004135EE">
        <w:rPr>
          <w:rFonts w:ascii="Arial" w:eastAsia="Arial" w:hAnsi="Arial" w:cs="Arial"/>
          <w:sz w:val="24"/>
          <w:szCs w:val="24"/>
          <w:lang w:val="es-ES"/>
        </w:rPr>
        <w:t xml:space="preserve">, la partida de “Servicios” </w:t>
      </w:r>
      <w:r>
        <w:rPr>
          <w:rFonts w:ascii="Arial" w:eastAsia="Arial" w:hAnsi="Arial" w:cs="Arial"/>
          <w:sz w:val="24"/>
          <w:szCs w:val="24"/>
          <w:lang w:val="es-ES"/>
        </w:rPr>
        <w:t xml:space="preserve">con una participación del 14% del presupuesto asignado, presenta una </w:t>
      </w:r>
      <w:r w:rsidR="004135EE">
        <w:rPr>
          <w:rFonts w:ascii="Arial" w:eastAsia="Arial" w:hAnsi="Arial" w:cs="Arial"/>
          <w:sz w:val="24"/>
          <w:szCs w:val="24"/>
          <w:lang w:val="es-ES"/>
        </w:rPr>
        <w:t>ejecución del 65</w:t>
      </w:r>
      <w:r>
        <w:rPr>
          <w:rFonts w:ascii="Arial" w:eastAsia="Arial" w:hAnsi="Arial" w:cs="Arial"/>
          <w:sz w:val="24"/>
          <w:szCs w:val="24"/>
          <w:lang w:val="es-ES"/>
        </w:rPr>
        <w:t xml:space="preserve">%, </w:t>
      </w:r>
      <w:r w:rsidR="008E0AD9">
        <w:rPr>
          <w:rFonts w:ascii="Arial" w:eastAsia="Arial" w:hAnsi="Arial" w:cs="Arial"/>
          <w:sz w:val="24"/>
          <w:szCs w:val="24"/>
          <w:lang w:val="es-ES"/>
        </w:rPr>
        <w:t xml:space="preserve">donde se ejecutan </w:t>
      </w:r>
      <w:r>
        <w:rPr>
          <w:rFonts w:ascii="Arial" w:eastAsia="Arial" w:hAnsi="Arial" w:cs="Arial"/>
          <w:sz w:val="24"/>
          <w:szCs w:val="24"/>
          <w:lang w:val="es-ES"/>
        </w:rPr>
        <w:t xml:space="preserve">una serie de gastos propios de las actividades de apoyo que garantizan la continuidad de los servicios de protección y prevención que se brindan a la comunidad.  </w:t>
      </w:r>
    </w:p>
    <w:p w14:paraId="3F8702BC" w14:textId="61D012A8" w:rsidR="00103984" w:rsidRDefault="00103984" w:rsidP="00AE3CEB">
      <w:pPr>
        <w:spacing w:line="276" w:lineRule="auto"/>
        <w:contextualSpacing/>
        <w:jc w:val="both"/>
        <w:rPr>
          <w:rFonts w:ascii="Arial" w:eastAsia="Arial" w:hAnsi="Arial" w:cs="Arial"/>
          <w:sz w:val="24"/>
          <w:szCs w:val="24"/>
          <w:lang w:val="es-ES"/>
        </w:rPr>
      </w:pPr>
    </w:p>
    <w:p w14:paraId="3980CED3" w14:textId="263466F7" w:rsidR="00103984" w:rsidRDefault="00DA517B" w:rsidP="00AE3CEB">
      <w:pPr>
        <w:spacing w:line="276" w:lineRule="auto"/>
        <w:contextualSpacing/>
        <w:jc w:val="both"/>
        <w:rPr>
          <w:rFonts w:ascii="Arial" w:eastAsia="Arial" w:hAnsi="Arial" w:cs="Arial"/>
          <w:sz w:val="24"/>
          <w:szCs w:val="24"/>
          <w:lang w:val="es-ES"/>
        </w:rPr>
      </w:pPr>
      <w:r>
        <w:rPr>
          <w:rFonts w:ascii="Arial" w:eastAsia="Arial" w:hAnsi="Arial" w:cs="Arial"/>
          <w:sz w:val="24"/>
          <w:szCs w:val="24"/>
          <w:lang w:val="es-ES"/>
        </w:rPr>
        <w:t>La partida “Transferencias de Capital” con una participación del 13% del presupuesto asignado, alcanzó un monto de ejecución de ¢3,</w:t>
      </w:r>
      <w:r w:rsidR="0015520E">
        <w:rPr>
          <w:rFonts w:ascii="Arial" w:eastAsia="Arial" w:hAnsi="Arial" w:cs="Arial"/>
          <w:sz w:val="24"/>
          <w:szCs w:val="24"/>
          <w:lang w:val="es-ES"/>
        </w:rPr>
        <w:t>750</w:t>
      </w:r>
      <w:r>
        <w:rPr>
          <w:rFonts w:ascii="Arial" w:eastAsia="Arial" w:hAnsi="Arial" w:cs="Arial"/>
          <w:sz w:val="24"/>
          <w:szCs w:val="24"/>
          <w:lang w:val="es-ES"/>
        </w:rPr>
        <w:t xml:space="preserve"> millones</w:t>
      </w:r>
      <w:r w:rsidR="008E0AD9">
        <w:rPr>
          <w:rFonts w:ascii="Arial" w:eastAsia="Arial" w:hAnsi="Arial" w:cs="Arial"/>
          <w:sz w:val="24"/>
          <w:szCs w:val="24"/>
          <w:lang w:val="es-ES"/>
        </w:rPr>
        <w:t xml:space="preserve"> de colones</w:t>
      </w:r>
      <w:r>
        <w:rPr>
          <w:rFonts w:ascii="Arial" w:eastAsia="Arial" w:hAnsi="Arial" w:cs="Arial"/>
          <w:sz w:val="24"/>
          <w:szCs w:val="24"/>
          <w:lang w:val="es-ES"/>
        </w:rPr>
        <w:t>, lo que representa el 75% de la ejecución del monto presupuestado.  En esta partida se registra el aporte del fideicomiso de titularización.</w:t>
      </w:r>
    </w:p>
    <w:p w14:paraId="484FD4EA" w14:textId="09AA3ACC" w:rsidR="003504A6" w:rsidRDefault="003504A6" w:rsidP="00AE3CEB">
      <w:pPr>
        <w:spacing w:line="276" w:lineRule="auto"/>
        <w:contextualSpacing/>
        <w:jc w:val="both"/>
        <w:rPr>
          <w:rFonts w:ascii="Arial" w:eastAsia="Arial" w:hAnsi="Arial" w:cs="Arial"/>
          <w:sz w:val="24"/>
          <w:szCs w:val="24"/>
          <w:lang w:val="es-ES"/>
        </w:rPr>
      </w:pPr>
    </w:p>
    <w:p w14:paraId="7D0F4F25" w14:textId="2A80FFB3" w:rsidR="003504A6" w:rsidRDefault="003504A6" w:rsidP="00AE3CEB">
      <w:pPr>
        <w:spacing w:line="276" w:lineRule="auto"/>
        <w:contextualSpacing/>
        <w:jc w:val="both"/>
        <w:rPr>
          <w:rFonts w:ascii="Arial" w:eastAsia="Arial" w:hAnsi="Arial" w:cs="Arial"/>
          <w:sz w:val="24"/>
          <w:szCs w:val="24"/>
          <w:lang w:val="es-ES"/>
        </w:rPr>
      </w:pPr>
    </w:p>
    <w:p w14:paraId="1E948BDE" w14:textId="3CED35EC" w:rsidR="003504A6" w:rsidRDefault="003504A6" w:rsidP="00AE3CEB">
      <w:pPr>
        <w:spacing w:line="276" w:lineRule="auto"/>
        <w:contextualSpacing/>
        <w:jc w:val="both"/>
        <w:rPr>
          <w:rFonts w:ascii="Arial" w:eastAsia="Arial" w:hAnsi="Arial" w:cs="Arial"/>
          <w:sz w:val="24"/>
          <w:szCs w:val="24"/>
          <w:lang w:val="es-ES"/>
        </w:rPr>
      </w:pPr>
    </w:p>
    <w:p w14:paraId="3466C3AA" w14:textId="757D3E5C" w:rsidR="003504A6" w:rsidRDefault="003504A6" w:rsidP="00AE3CEB">
      <w:pPr>
        <w:spacing w:line="276" w:lineRule="auto"/>
        <w:contextualSpacing/>
        <w:jc w:val="both"/>
        <w:rPr>
          <w:rFonts w:ascii="Arial" w:eastAsia="Arial" w:hAnsi="Arial" w:cs="Arial"/>
          <w:sz w:val="24"/>
          <w:szCs w:val="24"/>
          <w:lang w:val="es-ES"/>
        </w:rPr>
      </w:pPr>
    </w:p>
    <w:p w14:paraId="1D8B370B" w14:textId="692EBE18" w:rsidR="00103984" w:rsidRDefault="00103984" w:rsidP="00AE3CEB">
      <w:pPr>
        <w:spacing w:line="276" w:lineRule="auto"/>
        <w:contextualSpacing/>
        <w:jc w:val="both"/>
        <w:rPr>
          <w:rFonts w:ascii="Arial" w:eastAsia="Arial" w:hAnsi="Arial" w:cs="Arial"/>
          <w:sz w:val="24"/>
          <w:szCs w:val="24"/>
          <w:lang w:val="es-ES"/>
        </w:rPr>
      </w:pPr>
    </w:p>
    <w:p w14:paraId="547320EB" w14:textId="2F17F44F" w:rsidR="003504A6" w:rsidRDefault="003504A6" w:rsidP="00AE3CEB">
      <w:pPr>
        <w:spacing w:line="276" w:lineRule="auto"/>
        <w:contextualSpacing/>
        <w:jc w:val="both"/>
        <w:rPr>
          <w:b/>
          <w:sz w:val="20"/>
          <w:lang w:val="es-MX"/>
        </w:rPr>
      </w:pPr>
    </w:p>
    <w:p w14:paraId="4B76F1E4" w14:textId="77777777" w:rsidR="003504A6" w:rsidRDefault="003504A6" w:rsidP="00AE3CEB">
      <w:pPr>
        <w:spacing w:line="276" w:lineRule="auto"/>
        <w:contextualSpacing/>
        <w:jc w:val="both"/>
        <w:rPr>
          <w:b/>
          <w:sz w:val="20"/>
          <w:lang w:val="es-MX"/>
        </w:rPr>
      </w:pPr>
    </w:p>
    <w:p w14:paraId="5711888C" w14:textId="46AD5154" w:rsidR="003504A6" w:rsidRDefault="003504A6" w:rsidP="00AE3CEB">
      <w:pPr>
        <w:spacing w:line="276" w:lineRule="auto"/>
        <w:contextualSpacing/>
        <w:jc w:val="both"/>
        <w:rPr>
          <w:b/>
          <w:sz w:val="20"/>
          <w:lang w:val="es-MX"/>
        </w:rPr>
      </w:pPr>
    </w:p>
    <w:p w14:paraId="1312BC07" w14:textId="56329796" w:rsidR="00103984" w:rsidRDefault="00103984" w:rsidP="00AE3CEB">
      <w:pPr>
        <w:spacing w:line="276" w:lineRule="auto"/>
        <w:contextualSpacing/>
        <w:jc w:val="both"/>
        <w:rPr>
          <w:rFonts w:ascii="Arial" w:eastAsia="Arial" w:hAnsi="Arial" w:cs="Arial"/>
          <w:sz w:val="24"/>
          <w:szCs w:val="24"/>
          <w:lang w:val="es-ES"/>
        </w:rPr>
      </w:pPr>
    </w:p>
    <w:p w14:paraId="50C42498" w14:textId="77F6D815" w:rsidR="00103984" w:rsidRDefault="00103984" w:rsidP="00AE3CEB">
      <w:pPr>
        <w:spacing w:line="276" w:lineRule="auto"/>
        <w:contextualSpacing/>
        <w:jc w:val="both"/>
        <w:rPr>
          <w:rFonts w:ascii="Arial" w:eastAsia="Arial" w:hAnsi="Arial" w:cs="Arial"/>
          <w:sz w:val="24"/>
          <w:szCs w:val="24"/>
          <w:lang w:val="es-ES"/>
        </w:rPr>
      </w:pPr>
    </w:p>
    <w:p w14:paraId="4A8BEB80" w14:textId="646488A2" w:rsidR="0074717D" w:rsidRDefault="00ED11F7" w:rsidP="00213C8A">
      <w:pPr>
        <w:jc w:val="center"/>
        <w:rPr>
          <w:rFonts w:ascii="Arial" w:hAnsi="Arial" w:cs="Arial"/>
          <w:sz w:val="24"/>
          <w:lang w:val="es-MX"/>
        </w:rPr>
      </w:pPr>
      <w:r>
        <w:rPr>
          <w:rFonts w:ascii="Arial" w:hAnsi="Arial" w:cs="Arial"/>
          <w:noProof/>
          <w:sz w:val="24"/>
          <w:lang w:val="es-MX"/>
        </w:rPr>
        <w:drawing>
          <wp:inline distT="0" distB="0" distL="0" distR="0" wp14:anchorId="1BE1E9BD" wp14:editId="73841FFC">
            <wp:extent cx="5298348" cy="3461657"/>
            <wp:effectExtent l="0" t="0" r="0"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0301" cy="3482534"/>
                    </a:xfrm>
                    <a:prstGeom prst="rect">
                      <a:avLst/>
                    </a:prstGeom>
                    <a:noFill/>
                  </pic:spPr>
                </pic:pic>
              </a:graphicData>
            </a:graphic>
          </wp:inline>
        </w:drawing>
      </w:r>
    </w:p>
    <w:p w14:paraId="151E6F6E" w14:textId="04664DB2" w:rsidR="003504A6" w:rsidRDefault="00ED11F7" w:rsidP="00ED11F7">
      <w:pPr>
        <w:rPr>
          <w:rFonts w:ascii="Arial" w:hAnsi="Arial" w:cs="Arial"/>
          <w:sz w:val="24"/>
          <w:lang w:val="es-MX"/>
        </w:rPr>
      </w:pPr>
      <w:r w:rsidRPr="00F6285B">
        <w:rPr>
          <w:b/>
          <w:sz w:val="20"/>
          <w:lang w:val="es-MX"/>
        </w:rPr>
        <w:t>Fuente:  Área de Gestión de Recursos Económicos</w:t>
      </w:r>
      <w:r>
        <w:rPr>
          <w:rFonts w:ascii="Arial" w:hAnsi="Arial" w:cs="Arial"/>
          <w:sz w:val="24"/>
          <w:lang w:val="es-MX"/>
        </w:rPr>
        <w:t xml:space="preserve"> </w:t>
      </w:r>
    </w:p>
    <w:p w14:paraId="28AF072B" w14:textId="77777777" w:rsidR="003504A6" w:rsidRDefault="003504A6" w:rsidP="00AE3CEB">
      <w:pPr>
        <w:jc w:val="both"/>
        <w:rPr>
          <w:rFonts w:ascii="Arial" w:hAnsi="Arial" w:cs="Arial"/>
          <w:sz w:val="24"/>
          <w:lang w:val="es-MX"/>
        </w:rPr>
      </w:pPr>
    </w:p>
    <w:p w14:paraId="24673A21" w14:textId="7AE30ADB" w:rsidR="0074717D" w:rsidRDefault="005C1887" w:rsidP="00AE3CEB">
      <w:pPr>
        <w:jc w:val="both"/>
        <w:rPr>
          <w:rFonts w:ascii="Arial" w:hAnsi="Arial" w:cs="Arial"/>
          <w:sz w:val="24"/>
          <w:lang w:val="es-MX"/>
        </w:rPr>
      </w:pPr>
      <w:r>
        <w:rPr>
          <w:rFonts w:ascii="Arial" w:hAnsi="Arial" w:cs="Arial"/>
          <w:sz w:val="24"/>
          <w:lang w:val="es-MX"/>
        </w:rPr>
        <w:t>En cuanto a la evaluación general, se observa que el porcentaje de ejecución alcanzada al 30 de setiembre 2022 se encuentra dentro del porcentaje esperado considerando la intención que existe a nivel institucional por alcanzar una alta ejecución presupuestaria logrando cumplir con las metas y objetivos propuestos.</w:t>
      </w:r>
    </w:p>
    <w:p w14:paraId="732476E8" w14:textId="58F28C27" w:rsidR="00E470CE" w:rsidRDefault="00E470CE" w:rsidP="00AE3CEB">
      <w:pPr>
        <w:jc w:val="both"/>
        <w:rPr>
          <w:rFonts w:ascii="Arial" w:hAnsi="Arial" w:cs="Arial"/>
          <w:sz w:val="24"/>
          <w:lang w:val="es-MX"/>
        </w:rPr>
      </w:pPr>
    </w:p>
    <w:p w14:paraId="272825ED" w14:textId="726F9E08" w:rsidR="003504A6" w:rsidRDefault="004D6930" w:rsidP="00AE3CEB">
      <w:pPr>
        <w:jc w:val="both"/>
        <w:rPr>
          <w:rFonts w:ascii="Arial" w:hAnsi="Arial" w:cs="Arial"/>
          <w:sz w:val="24"/>
          <w:lang w:val="es-MX"/>
        </w:rPr>
      </w:pPr>
      <w:r w:rsidRPr="004D6930">
        <w:drawing>
          <wp:inline distT="0" distB="0" distL="0" distR="0" wp14:anchorId="270AED7D" wp14:editId="61CCAAE7">
            <wp:extent cx="5612130" cy="928815"/>
            <wp:effectExtent l="0" t="0" r="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928815"/>
                    </a:xfrm>
                    <a:prstGeom prst="rect">
                      <a:avLst/>
                    </a:prstGeom>
                    <a:noFill/>
                    <a:ln>
                      <a:noFill/>
                    </a:ln>
                  </pic:spPr>
                </pic:pic>
              </a:graphicData>
            </a:graphic>
          </wp:inline>
        </w:drawing>
      </w:r>
    </w:p>
    <w:p w14:paraId="0D7D89F5" w14:textId="77777777" w:rsidR="003504A6" w:rsidRDefault="003504A6" w:rsidP="00AE3CEB">
      <w:pPr>
        <w:jc w:val="both"/>
        <w:rPr>
          <w:rFonts w:ascii="Arial" w:hAnsi="Arial" w:cs="Arial"/>
          <w:sz w:val="24"/>
          <w:lang w:val="es-MX"/>
        </w:rPr>
      </w:pPr>
      <w:r>
        <w:rPr>
          <w:rFonts w:ascii="Arial" w:hAnsi="Arial" w:cs="Arial"/>
          <w:noProof/>
          <w:sz w:val="24"/>
          <w:lang w:val="es-MX"/>
        </w:rPr>
        <w:lastRenderedPageBreak/>
        <w:drawing>
          <wp:inline distT="0" distB="0" distL="0" distR="0" wp14:anchorId="20FFFD11" wp14:editId="07CBBBF0">
            <wp:extent cx="5212715" cy="3279775"/>
            <wp:effectExtent l="0" t="0" r="698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2715" cy="3279775"/>
                    </a:xfrm>
                    <a:prstGeom prst="rect">
                      <a:avLst/>
                    </a:prstGeom>
                    <a:noFill/>
                  </pic:spPr>
                </pic:pic>
              </a:graphicData>
            </a:graphic>
          </wp:inline>
        </w:drawing>
      </w:r>
    </w:p>
    <w:p w14:paraId="242223CB" w14:textId="77777777" w:rsidR="003504A6" w:rsidRDefault="003504A6" w:rsidP="003504A6">
      <w:pPr>
        <w:spacing w:line="276" w:lineRule="auto"/>
        <w:contextualSpacing/>
        <w:jc w:val="both"/>
        <w:rPr>
          <w:rFonts w:ascii="Arial" w:eastAsia="Arial" w:hAnsi="Arial" w:cs="Arial"/>
          <w:sz w:val="24"/>
          <w:szCs w:val="24"/>
          <w:lang w:val="es-ES"/>
        </w:rPr>
      </w:pPr>
      <w:r w:rsidRPr="00F6285B">
        <w:rPr>
          <w:b/>
          <w:sz w:val="20"/>
          <w:lang w:val="es-MX"/>
        </w:rPr>
        <w:t>Fuente:  Área de Gestión de Recursos Económicos</w:t>
      </w:r>
    </w:p>
    <w:p w14:paraId="781110AF" w14:textId="09AB58E2" w:rsidR="003504A6" w:rsidRDefault="003504A6" w:rsidP="00AE3CEB">
      <w:pPr>
        <w:jc w:val="both"/>
        <w:rPr>
          <w:rFonts w:ascii="Arial" w:hAnsi="Arial" w:cs="Arial"/>
          <w:sz w:val="24"/>
          <w:lang w:val="es-MX"/>
        </w:rPr>
        <w:sectPr w:rsidR="003504A6">
          <w:footerReference w:type="default" r:id="rId20"/>
          <w:pgSz w:w="12240" w:h="15840"/>
          <w:pgMar w:top="1417" w:right="1701" w:bottom="1417" w:left="1701" w:header="708" w:footer="708" w:gutter="0"/>
          <w:cols w:space="708"/>
          <w:docGrid w:linePitch="360"/>
        </w:sectPr>
      </w:pPr>
    </w:p>
    <w:p w14:paraId="0FBCCE93" w14:textId="5DDC0F5B" w:rsidR="005C1887" w:rsidRPr="00715EF3" w:rsidRDefault="00715EF3" w:rsidP="00AE3CEB">
      <w:pPr>
        <w:jc w:val="both"/>
        <w:rPr>
          <w:rFonts w:ascii="Arial" w:hAnsi="Arial" w:cs="Arial"/>
          <w:b/>
          <w:bCs/>
          <w:sz w:val="24"/>
          <w:lang w:val="es-MX"/>
        </w:rPr>
      </w:pPr>
      <w:r w:rsidRPr="00715EF3">
        <w:rPr>
          <w:rFonts w:ascii="Arial" w:hAnsi="Arial" w:cs="Arial"/>
          <w:b/>
          <w:bCs/>
          <w:sz w:val="24"/>
          <w:lang w:val="es-MX"/>
        </w:rPr>
        <w:lastRenderedPageBreak/>
        <w:t>Ejecución presupuestaria de egresos 2019-2022</w:t>
      </w:r>
    </w:p>
    <w:p w14:paraId="5E45F43E" w14:textId="3CB7D4BA" w:rsidR="00715EF3" w:rsidRDefault="00715EF3" w:rsidP="00AE3CEB">
      <w:pPr>
        <w:jc w:val="both"/>
        <w:rPr>
          <w:rFonts w:ascii="Arial" w:hAnsi="Arial" w:cs="Arial"/>
          <w:sz w:val="24"/>
          <w:lang w:val="es-MX"/>
        </w:rPr>
      </w:pPr>
    </w:p>
    <w:p w14:paraId="7368B41E" w14:textId="73C2973B" w:rsidR="00715EF3" w:rsidRDefault="00715EF3" w:rsidP="00AE3CEB">
      <w:pPr>
        <w:jc w:val="both"/>
        <w:rPr>
          <w:rFonts w:ascii="Arial" w:hAnsi="Arial" w:cs="Arial"/>
          <w:sz w:val="24"/>
          <w:lang w:val="es-MX"/>
        </w:rPr>
      </w:pPr>
      <w:r>
        <w:rPr>
          <w:rFonts w:ascii="Arial" w:hAnsi="Arial" w:cs="Arial"/>
          <w:sz w:val="24"/>
          <w:lang w:val="es-MX"/>
        </w:rPr>
        <w:t xml:space="preserve">El comportamiento del gasto presentado al 30 de setiembre de los periodos 2019, 2020, 2021 y 2022, se puede apreciar según el gráfico No. 6, un crecimiento acorde a la ejecución de los periodos anteriores.  </w:t>
      </w:r>
    </w:p>
    <w:p w14:paraId="0B30A441" w14:textId="77777777" w:rsidR="004D1F30" w:rsidRDefault="004D1F30" w:rsidP="00AE3CEB">
      <w:pPr>
        <w:jc w:val="both"/>
        <w:rPr>
          <w:rFonts w:ascii="Arial" w:hAnsi="Arial" w:cs="Arial"/>
          <w:sz w:val="24"/>
          <w:lang w:val="es-MX"/>
        </w:rPr>
      </w:pPr>
    </w:p>
    <w:p w14:paraId="594D960C" w14:textId="0BE41A28" w:rsidR="00A9473C" w:rsidRDefault="0074717D" w:rsidP="00AE3CEB">
      <w:pPr>
        <w:jc w:val="both"/>
        <w:rPr>
          <w:rFonts w:ascii="Arial" w:hAnsi="Arial" w:cs="Arial"/>
          <w:sz w:val="24"/>
          <w:lang w:val="es-MX"/>
        </w:rPr>
      </w:pPr>
      <w:r>
        <w:rPr>
          <w:noProof/>
        </w:rPr>
        <w:drawing>
          <wp:anchor distT="0" distB="0" distL="114300" distR="114300" simplePos="0" relativeHeight="251662336" behindDoc="1" locked="0" layoutInCell="1" allowOverlap="1" wp14:anchorId="6C3C2E07" wp14:editId="5FB5283A">
            <wp:simplePos x="0" y="0"/>
            <wp:positionH relativeFrom="margin">
              <wp:align>left</wp:align>
            </wp:positionH>
            <wp:positionV relativeFrom="paragraph">
              <wp:posOffset>395605</wp:posOffset>
            </wp:positionV>
            <wp:extent cx="8391525" cy="2771775"/>
            <wp:effectExtent l="0" t="0" r="9525" b="9525"/>
            <wp:wrapTight wrapText="bothSides">
              <wp:wrapPolygon edited="0">
                <wp:start x="0" y="0"/>
                <wp:lineTo x="0" y="21526"/>
                <wp:lineTo x="21575" y="21526"/>
                <wp:lineTo x="21575" y="0"/>
                <wp:lineTo x="0" y="0"/>
              </wp:wrapPolygon>
            </wp:wrapTight>
            <wp:docPr id="2" name="Gráfico 2">
              <a:extLst xmlns:a="http://schemas.openxmlformats.org/drawingml/2006/main">
                <a:ext uri="{FF2B5EF4-FFF2-40B4-BE49-F238E27FC236}">
                  <a16:creationId xmlns:a16="http://schemas.microsoft.com/office/drawing/2014/main" id="{CF3641C5-D150-76E2-BC17-2C44F9855C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14:paraId="2AB636FD" w14:textId="2B6852B1" w:rsidR="0074717D" w:rsidRDefault="0074717D" w:rsidP="00AE3CEB">
      <w:pPr>
        <w:jc w:val="both"/>
        <w:rPr>
          <w:rFonts w:ascii="Arial" w:hAnsi="Arial" w:cs="Arial"/>
          <w:sz w:val="24"/>
          <w:lang w:val="es-MX"/>
        </w:rPr>
      </w:pPr>
    </w:p>
    <w:p w14:paraId="5C390E6A" w14:textId="48CC1F49" w:rsidR="0074717D" w:rsidRDefault="0074717D" w:rsidP="00AE3CEB">
      <w:pPr>
        <w:jc w:val="both"/>
        <w:rPr>
          <w:rFonts w:ascii="Arial" w:hAnsi="Arial" w:cs="Arial"/>
          <w:sz w:val="24"/>
          <w:lang w:val="es-MX"/>
        </w:rPr>
      </w:pPr>
    </w:p>
    <w:p w14:paraId="59D91A8B" w14:textId="78DC3D54" w:rsidR="00715EF3" w:rsidRDefault="00715EF3" w:rsidP="00AE3CEB">
      <w:pPr>
        <w:jc w:val="both"/>
        <w:rPr>
          <w:rFonts w:ascii="Arial" w:hAnsi="Arial" w:cs="Arial"/>
          <w:sz w:val="24"/>
          <w:lang w:val="es-MX"/>
        </w:rPr>
      </w:pPr>
    </w:p>
    <w:p w14:paraId="16394C9B" w14:textId="77777777" w:rsidR="00715EF3" w:rsidRDefault="00715EF3" w:rsidP="00AE3CEB">
      <w:pPr>
        <w:jc w:val="both"/>
        <w:rPr>
          <w:rFonts w:ascii="Arial" w:hAnsi="Arial" w:cs="Arial"/>
          <w:sz w:val="24"/>
          <w:lang w:val="es-MX"/>
        </w:rPr>
        <w:sectPr w:rsidR="00715EF3" w:rsidSect="0074717D">
          <w:pgSz w:w="15840" w:h="12240" w:orient="landscape"/>
          <w:pgMar w:top="1701" w:right="1417" w:bottom="1701" w:left="1417" w:header="708" w:footer="708" w:gutter="0"/>
          <w:cols w:space="708"/>
          <w:docGrid w:linePitch="360"/>
        </w:sectPr>
      </w:pPr>
    </w:p>
    <w:p w14:paraId="0081C3B2" w14:textId="678CF479" w:rsidR="003504A6" w:rsidRDefault="00C45C29" w:rsidP="003504A6">
      <w:pPr>
        <w:pStyle w:val="Ttulo2"/>
        <w:rPr>
          <w:rFonts w:ascii="Arial" w:hAnsi="Arial" w:cs="Arial"/>
          <w:b/>
          <w:bCs/>
          <w:color w:val="000000" w:themeColor="text1"/>
          <w:sz w:val="28"/>
          <w:szCs w:val="28"/>
          <w:u w:val="single"/>
          <w:lang w:val="es-MX"/>
        </w:rPr>
      </w:pPr>
      <w:bookmarkStart w:id="7" w:name="_Toc115779850"/>
      <w:r>
        <w:rPr>
          <w:rFonts w:ascii="Arial" w:hAnsi="Arial" w:cs="Arial"/>
          <w:b/>
          <w:bCs/>
          <w:color w:val="000000" w:themeColor="text1"/>
          <w:sz w:val="28"/>
          <w:szCs w:val="28"/>
          <w:u w:val="single"/>
          <w:lang w:val="es-MX"/>
        </w:rPr>
        <w:lastRenderedPageBreak/>
        <w:t>C</w:t>
      </w:r>
      <w:r w:rsidR="00C6077C" w:rsidRPr="00C6077C">
        <w:rPr>
          <w:rFonts w:ascii="Arial" w:hAnsi="Arial" w:cs="Arial"/>
          <w:b/>
          <w:bCs/>
          <w:color w:val="000000" w:themeColor="text1"/>
          <w:sz w:val="28"/>
          <w:szCs w:val="28"/>
          <w:u w:val="single"/>
          <w:lang w:val="es-MX"/>
        </w:rPr>
        <w:t>. CLASIFICADOR ECONÓMICO DEL GASTO</w:t>
      </w:r>
      <w:bookmarkEnd w:id="7"/>
    </w:p>
    <w:p w14:paraId="4AD5FBFB" w14:textId="0E30A859" w:rsidR="0044106E" w:rsidRDefault="0044106E" w:rsidP="0044106E">
      <w:pPr>
        <w:rPr>
          <w:lang w:val="es-MX"/>
        </w:rPr>
      </w:pPr>
    </w:p>
    <w:p w14:paraId="7BB721D7" w14:textId="77777777" w:rsidR="0044106E" w:rsidRPr="0044106E" w:rsidRDefault="0044106E" w:rsidP="0044106E">
      <w:pPr>
        <w:rPr>
          <w:lang w:val="es-MX"/>
        </w:rPr>
      </w:pPr>
    </w:p>
    <w:tbl>
      <w:tblPr>
        <w:tblW w:w="12953" w:type="dxa"/>
        <w:tblCellMar>
          <w:left w:w="70" w:type="dxa"/>
          <w:right w:w="70" w:type="dxa"/>
        </w:tblCellMar>
        <w:tblLook w:val="04A0" w:firstRow="1" w:lastRow="0" w:firstColumn="1" w:lastColumn="0" w:noHBand="0" w:noVBand="1"/>
      </w:tblPr>
      <w:tblGrid>
        <w:gridCol w:w="12953"/>
      </w:tblGrid>
      <w:tr w:rsidR="00B8449D" w:rsidRPr="00B8449D" w14:paraId="52EB37E6" w14:textId="77777777" w:rsidTr="00B8449D">
        <w:trPr>
          <w:trHeight w:val="339"/>
        </w:trPr>
        <w:tc>
          <w:tcPr>
            <w:tcW w:w="12953" w:type="dxa"/>
            <w:tcBorders>
              <w:top w:val="nil"/>
              <w:left w:val="nil"/>
              <w:bottom w:val="nil"/>
              <w:right w:val="nil"/>
            </w:tcBorders>
            <w:shd w:val="clear" w:color="auto" w:fill="auto"/>
            <w:noWrap/>
            <w:vAlign w:val="center"/>
            <w:hideMark/>
          </w:tcPr>
          <w:p w14:paraId="4E55F6D5" w14:textId="77777777" w:rsidR="00B8449D" w:rsidRPr="00B8449D" w:rsidRDefault="00B8449D" w:rsidP="00B8449D">
            <w:pPr>
              <w:spacing w:after="0" w:line="240" w:lineRule="auto"/>
              <w:jc w:val="center"/>
              <w:rPr>
                <w:rFonts w:ascii="Arial" w:eastAsia="Times New Roman" w:hAnsi="Arial" w:cs="Arial"/>
                <w:b/>
                <w:bCs/>
                <w:color w:val="000000"/>
                <w:szCs w:val="24"/>
                <w:lang w:eastAsia="es-CR"/>
              </w:rPr>
            </w:pPr>
            <w:r w:rsidRPr="00B8449D">
              <w:rPr>
                <w:rFonts w:ascii="Arial" w:eastAsia="Times New Roman" w:hAnsi="Arial" w:cs="Arial"/>
                <w:b/>
                <w:bCs/>
                <w:color w:val="000000"/>
                <w:szCs w:val="24"/>
                <w:lang w:eastAsia="es-CR"/>
              </w:rPr>
              <w:t>Benemérito Cuerpo de Bomberos de Costa Rica</w:t>
            </w:r>
          </w:p>
        </w:tc>
      </w:tr>
      <w:tr w:rsidR="00B8449D" w:rsidRPr="00B8449D" w14:paraId="4C25B5AA" w14:textId="77777777" w:rsidTr="00B8449D">
        <w:trPr>
          <w:trHeight w:val="324"/>
        </w:trPr>
        <w:tc>
          <w:tcPr>
            <w:tcW w:w="12953" w:type="dxa"/>
            <w:tcBorders>
              <w:top w:val="nil"/>
              <w:left w:val="nil"/>
              <w:bottom w:val="nil"/>
              <w:right w:val="nil"/>
            </w:tcBorders>
            <w:shd w:val="clear" w:color="auto" w:fill="auto"/>
            <w:noWrap/>
            <w:vAlign w:val="center"/>
            <w:hideMark/>
          </w:tcPr>
          <w:p w14:paraId="24CC4953" w14:textId="77777777" w:rsidR="00B8449D" w:rsidRPr="00B8449D" w:rsidRDefault="00B8449D" w:rsidP="00B8449D">
            <w:pPr>
              <w:spacing w:after="0" w:line="240" w:lineRule="auto"/>
              <w:jc w:val="center"/>
              <w:rPr>
                <w:rFonts w:ascii="Arial" w:eastAsia="Times New Roman" w:hAnsi="Arial" w:cs="Arial"/>
                <w:color w:val="000000"/>
                <w:szCs w:val="24"/>
                <w:lang w:eastAsia="es-CR"/>
              </w:rPr>
            </w:pPr>
            <w:r w:rsidRPr="00B8449D">
              <w:rPr>
                <w:rFonts w:ascii="Arial" w:eastAsia="Times New Roman" w:hAnsi="Arial" w:cs="Arial"/>
                <w:color w:val="000000"/>
                <w:szCs w:val="24"/>
                <w:lang w:eastAsia="es-CR"/>
              </w:rPr>
              <w:t xml:space="preserve">Informe de Ejecución de Egresos </w:t>
            </w:r>
          </w:p>
        </w:tc>
      </w:tr>
      <w:tr w:rsidR="00B8449D" w:rsidRPr="00B8449D" w14:paraId="55DFC942" w14:textId="77777777" w:rsidTr="00B8449D">
        <w:trPr>
          <w:trHeight w:val="339"/>
        </w:trPr>
        <w:tc>
          <w:tcPr>
            <w:tcW w:w="12953" w:type="dxa"/>
            <w:tcBorders>
              <w:top w:val="nil"/>
              <w:left w:val="nil"/>
              <w:bottom w:val="nil"/>
              <w:right w:val="nil"/>
            </w:tcBorders>
            <w:shd w:val="clear" w:color="auto" w:fill="auto"/>
            <w:noWrap/>
            <w:vAlign w:val="center"/>
            <w:hideMark/>
          </w:tcPr>
          <w:p w14:paraId="5DB723A8" w14:textId="77777777" w:rsidR="00B8449D" w:rsidRPr="00B8449D" w:rsidRDefault="00B8449D" w:rsidP="00B8449D">
            <w:pPr>
              <w:spacing w:after="0" w:line="240" w:lineRule="auto"/>
              <w:jc w:val="center"/>
              <w:rPr>
                <w:rFonts w:ascii="Arial" w:eastAsia="Times New Roman" w:hAnsi="Arial" w:cs="Arial"/>
                <w:b/>
                <w:bCs/>
                <w:color w:val="000000"/>
                <w:szCs w:val="24"/>
                <w:lang w:eastAsia="es-CR"/>
              </w:rPr>
            </w:pPr>
            <w:r w:rsidRPr="00B8449D">
              <w:rPr>
                <w:rFonts w:ascii="Arial" w:eastAsia="Times New Roman" w:hAnsi="Arial" w:cs="Arial"/>
                <w:b/>
                <w:bCs/>
                <w:color w:val="000000"/>
                <w:szCs w:val="24"/>
                <w:lang w:eastAsia="es-CR"/>
              </w:rPr>
              <w:t xml:space="preserve"> -Detalle de cuentas según Clasificador Económico del Gasto- </w:t>
            </w:r>
          </w:p>
        </w:tc>
      </w:tr>
      <w:tr w:rsidR="00B8449D" w:rsidRPr="00B8449D" w14:paraId="6FDE2358" w14:textId="77777777" w:rsidTr="00B8449D">
        <w:trPr>
          <w:trHeight w:val="324"/>
        </w:trPr>
        <w:tc>
          <w:tcPr>
            <w:tcW w:w="12953" w:type="dxa"/>
            <w:tcBorders>
              <w:top w:val="nil"/>
              <w:left w:val="nil"/>
              <w:bottom w:val="nil"/>
              <w:right w:val="nil"/>
            </w:tcBorders>
            <w:shd w:val="clear" w:color="auto" w:fill="auto"/>
            <w:noWrap/>
            <w:vAlign w:val="center"/>
            <w:hideMark/>
          </w:tcPr>
          <w:p w14:paraId="0538D208" w14:textId="77777777" w:rsidR="00B8449D" w:rsidRPr="00B8449D" w:rsidRDefault="00B8449D" w:rsidP="00B8449D">
            <w:pPr>
              <w:spacing w:after="0" w:line="240" w:lineRule="auto"/>
              <w:jc w:val="center"/>
              <w:rPr>
                <w:rFonts w:ascii="Arial" w:eastAsia="Times New Roman" w:hAnsi="Arial" w:cs="Arial"/>
                <w:color w:val="000000"/>
                <w:szCs w:val="24"/>
                <w:lang w:eastAsia="es-CR"/>
              </w:rPr>
            </w:pPr>
            <w:r w:rsidRPr="00B8449D">
              <w:rPr>
                <w:rFonts w:ascii="Arial" w:eastAsia="Times New Roman" w:hAnsi="Arial" w:cs="Arial"/>
                <w:color w:val="000000"/>
                <w:szCs w:val="24"/>
                <w:lang w:eastAsia="es-CR"/>
              </w:rPr>
              <w:t>Programa único: Benemérito Cuerpo de Bomberos de Costa Rica</w:t>
            </w:r>
          </w:p>
        </w:tc>
      </w:tr>
      <w:tr w:rsidR="00B8449D" w:rsidRPr="00B8449D" w14:paraId="4442EAD8" w14:textId="77777777" w:rsidTr="00B8449D">
        <w:trPr>
          <w:trHeight w:val="339"/>
        </w:trPr>
        <w:tc>
          <w:tcPr>
            <w:tcW w:w="12953" w:type="dxa"/>
            <w:tcBorders>
              <w:top w:val="nil"/>
              <w:left w:val="nil"/>
              <w:bottom w:val="nil"/>
              <w:right w:val="nil"/>
            </w:tcBorders>
            <w:shd w:val="clear" w:color="auto" w:fill="auto"/>
            <w:noWrap/>
            <w:vAlign w:val="center"/>
            <w:hideMark/>
          </w:tcPr>
          <w:p w14:paraId="37FEC7C7" w14:textId="77777777" w:rsidR="00B8449D" w:rsidRPr="00B8449D" w:rsidRDefault="00B8449D" w:rsidP="00B8449D">
            <w:pPr>
              <w:spacing w:after="0" w:line="240" w:lineRule="auto"/>
              <w:jc w:val="center"/>
              <w:rPr>
                <w:rFonts w:ascii="Arial" w:eastAsia="Times New Roman" w:hAnsi="Arial" w:cs="Arial"/>
                <w:b/>
                <w:bCs/>
                <w:color w:val="000000"/>
                <w:szCs w:val="24"/>
                <w:lang w:eastAsia="es-CR"/>
              </w:rPr>
            </w:pPr>
            <w:r w:rsidRPr="00B8449D">
              <w:rPr>
                <w:rFonts w:ascii="Arial" w:eastAsia="Times New Roman" w:hAnsi="Arial" w:cs="Arial"/>
                <w:b/>
                <w:bCs/>
                <w:color w:val="000000"/>
                <w:szCs w:val="24"/>
                <w:lang w:eastAsia="es-CR"/>
              </w:rPr>
              <w:t>III Trimestre 2022</w:t>
            </w:r>
          </w:p>
        </w:tc>
      </w:tr>
    </w:tbl>
    <w:p w14:paraId="006B08C9" w14:textId="7E337A47" w:rsidR="0044106E" w:rsidRDefault="0044106E" w:rsidP="003504A6">
      <w:pPr>
        <w:rPr>
          <w:b/>
          <w:sz w:val="20"/>
          <w:lang w:val="es-MX"/>
        </w:rPr>
      </w:pPr>
      <w:r w:rsidRPr="003504A6">
        <w:rPr>
          <w:noProof/>
        </w:rPr>
        <w:drawing>
          <wp:anchor distT="0" distB="0" distL="114300" distR="114300" simplePos="0" relativeHeight="251675648" behindDoc="1" locked="0" layoutInCell="1" allowOverlap="1" wp14:anchorId="570A126D" wp14:editId="77E15087">
            <wp:simplePos x="0" y="0"/>
            <wp:positionH relativeFrom="margin">
              <wp:align>right</wp:align>
            </wp:positionH>
            <wp:positionV relativeFrom="paragraph">
              <wp:posOffset>252951</wp:posOffset>
            </wp:positionV>
            <wp:extent cx="8304530" cy="2059305"/>
            <wp:effectExtent l="0" t="0" r="1270" b="0"/>
            <wp:wrapTight wrapText="bothSides">
              <wp:wrapPolygon edited="0">
                <wp:start x="0" y="0"/>
                <wp:lineTo x="0" y="21380"/>
                <wp:lineTo x="21554" y="21380"/>
                <wp:lineTo x="21554" y="19782"/>
                <wp:lineTo x="21455" y="19582"/>
                <wp:lineTo x="20761" y="19182"/>
                <wp:lineTo x="21554" y="18383"/>
                <wp:lineTo x="21554" y="10390"/>
                <wp:lineTo x="20662" y="9591"/>
                <wp:lineTo x="21554" y="9391"/>
                <wp:lineTo x="21554" y="7393"/>
                <wp:lineTo x="20711" y="6394"/>
                <wp:lineTo x="21504" y="6394"/>
                <wp:lineTo x="21554" y="6194"/>
                <wp:lineTo x="21554" y="0"/>
                <wp:lineTo x="0" y="0"/>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361895" cy="2073614"/>
                    </a:xfrm>
                    <a:prstGeom prst="rect">
                      <a:avLst/>
                    </a:prstGeom>
                    <a:noFill/>
                    <a:ln>
                      <a:noFill/>
                    </a:ln>
                  </pic:spPr>
                </pic:pic>
              </a:graphicData>
            </a:graphic>
            <wp14:sizeRelV relativeFrom="margin">
              <wp14:pctHeight>0</wp14:pctHeight>
            </wp14:sizeRelV>
          </wp:anchor>
        </w:drawing>
      </w:r>
    </w:p>
    <w:p w14:paraId="72B9DB1A" w14:textId="5FCE08C6" w:rsidR="003504A6" w:rsidRPr="00AA6EF3" w:rsidRDefault="003504A6" w:rsidP="003504A6">
      <w:pPr>
        <w:rPr>
          <w:rFonts w:ascii="Arial" w:hAnsi="Arial" w:cs="Arial"/>
          <w:sz w:val="24"/>
          <w:lang w:val="es-MX"/>
        </w:rPr>
      </w:pPr>
      <w:r w:rsidRPr="00F6285B">
        <w:rPr>
          <w:b/>
          <w:sz w:val="20"/>
          <w:lang w:val="es-MX"/>
        </w:rPr>
        <w:t>Fuente:  Área de Gestión de Recursos Económicos</w:t>
      </w:r>
    </w:p>
    <w:p w14:paraId="4065166D" w14:textId="31146925" w:rsidR="00AA6EF3" w:rsidRDefault="00AA6EF3" w:rsidP="00AA6EF3">
      <w:pPr>
        <w:rPr>
          <w:rFonts w:ascii="Arial" w:hAnsi="Arial" w:cs="Arial"/>
          <w:sz w:val="24"/>
          <w:lang w:val="es-MX"/>
        </w:rPr>
      </w:pPr>
    </w:p>
    <w:p w14:paraId="38F2B6EE" w14:textId="4816B027" w:rsidR="0044106E" w:rsidRDefault="0044106E" w:rsidP="0044106E">
      <w:pPr>
        <w:rPr>
          <w:b/>
          <w:sz w:val="20"/>
          <w:lang w:val="es-MX"/>
        </w:rPr>
      </w:pPr>
    </w:p>
    <w:p w14:paraId="08FD3827" w14:textId="77777777" w:rsidR="0044106E" w:rsidRDefault="0044106E" w:rsidP="0044106E">
      <w:pPr>
        <w:rPr>
          <w:b/>
          <w:sz w:val="20"/>
          <w:lang w:val="es-MX"/>
        </w:rPr>
      </w:pPr>
    </w:p>
    <w:p w14:paraId="7B033EBB" w14:textId="46D70CEE" w:rsidR="0044106E" w:rsidRDefault="0044106E" w:rsidP="0044106E">
      <w:pPr>
        <w:rPr>
          <w:b/>
          <w:sz w:val="20"/>
          <w:lang w:val="es-MX"/>
        </w:rPr>
      </w:pPr>
    </w:p>
    <w:p w14:paraId="4317ED7D" w14:textId="07FEA4E3" w:rsidR="0044106E" w:rsidRDefault="0044106E" w:rsidP="0044106E">
      <w:pPr>
        <w:rPr>
          <w:b/>
          <w:sz w:val="20"/>
          <w:lang w:val="es-MX"/>
        </w:rPr>
      </w:pPr>
    </w:p>
    <w:p w14:paraId="4F084F16" w14:textId="77777777" w:rsidR="0044106E" w:rsidRDefault="0044106E" w:rsidP="0044106E">
      <w:pPr>
        <w:rPr>
          <w:b/>
          <w:sz w:val="20"/>
          <w:lang w:val="es-MX"/>
        </w:rPr>
      </w:pPr>
    </w:p>
    <w:tbl>
      <w:tblPr>
        <w:tblW w:w="12696" w:type="dxa"/>
        <w:tblCellMar>
          <w:left w:w="70" w:type="dxa"/>
          <w:right w:w="70" w:type="dxa"/>
        </w:tblCellMar>
        <w:tblLook w:val="04A0" w:firstRow="1" w:lastRow="0" w:firstColumn="1" w:lastColumn="0" w:noHBand="0" w:noVBand="1"/>
      </w:tblPr>
      <w:tblGrid>
        <w:gridCol w:w="12696"/>
      </w:tblGrid>
      <w:tr w:rsidR="0044106E" w:rsidRPr="0044106E" w14:paraId="4B7935CF" w14:textId="77777777" w:rsidTr="0044106E">
        <w:trPr>
          <w:trHeight w:val="315"/>
        </w:trPr>
        <w:tc>
          <w:tcPr>
            <w:tcW w:w="12696" w:type="dxa"/>
            <w:tcBorders>
              <w:top w:val="nil"/>
              <w:left w:val="nil"/>
              <w:bottom w:val="nil"/>
              <w:right w:val="nil"/>
            </w:tcBorders>
            <w:shd w:val="clear" w:color="auto" w:fill="auto"/>
            <w:noWrap/>
            <w:vAlign w:val="center"/>
            <w:hideMark/>
          </w:tcPr>
          <w:p w14:paraId="53C519BC" w14:textId="77777777" w:rsidR="0044106E" w:rsidRPr="0044106E" w:rsidRDefault="0044106E" w:rsidP="0044106E">
            <w:pPr>
              <w:spacing w:after="0" w:line="240" w:lineRule="auto"/>
              <w:jc w:val="center"/>
              <w:rPr>
                <w:rFonts w:ascii="Arial" w:eastAsia="Times New Roman" w:hAnsi="Arial" w:cs="Arial"/>
                <w:b/>
                <w:bCs/>
                <w:color w:val="000000"/>
                <w:sz w:val="24"/>
                <w:szCs w:val="24"/>
                <w:lang w:eastAsia="es-CR"/>
              </w:rPr>
            </w:pPr>
            <w:r w:rsidRPr="0044106E">
              <w:rPr>
                <w:rFonts w:ascii="Arial" w:eastAsia="Times New Roman" w:hAnsi="Arial" w:cs="Arial"/>
                <w:b/>
                <w:bCs/>
                <w:color w:val="000000"/>
                <w:sz w:val="24"/>
                <w:szCs w:val="24"/>
                <w:lang w:eastAsia="es-CR"/>
              </w:rPr>
              <w:t>Benemérito Cuerpo de Bomberos de Costa Rica</w:t>
            </w:r>
          </w:p>
        </w:tc>
      </w:tr>
      <w:tr w:rsidR="0044106E" w:rsidRPr="0044106E" w14:paraId="48FBF36E" w14:textId="77777777" w:rsidTr="0044106E">
        <w:trPr>
          <w:trHeight w:val="300"/>
        </w:trPr>
        <w:tc>
          <w:tcPr>
            <w:tcW w:w="12696" w:type="dxa"/>
            <w:tcBorders>
              <w:top w:val="nil"/>
              <w:left w:val="nil"/>
              <w:bottom w:val="nil"/>
              <w:right w:val="nil"/>
            </w:tcBorders>
            <w:shd w:val="clear" w:color="auto" w:fill="auto"/>
            <w:noWrap/>
            <w:vAlign w:val="center"/>
            <w:hideMark/>
          </w:tcPr>
          <w:p w14:paraId="0412315A" w14:textId="77777777" w:rsidR="0044106E" w:rsidRPr="0044106E" w:rsidRDefault="0044106E" w:rsidP="0044106E">
            <w:pPr>
              <w:spacing w:after="0" w:line="240" w:lineRule="auto"/>
              <w:jc w:val="center"/>
              <w:rPr>
                <w:rFonts w:ascii="Arial" w:eastAsia="Times New Roman" w:hAnsi="Arial" w:cs="Arial"/>
                <w:color w:val="000000"/>
                <w:sz w:val="24"/>
                <w:szCs w:val="24"/>
                <w:lang w:eastAsia="es-CR"/>
              </w:rPr>
            </w:pPr>
            <w:r w:rsidRPr="0044106E">
              <w:rPr>
                <w:rFonts w:ascii="Arial" w:eastAsia="Times New Roman" w:hAnsi="Arial" w:cs="Arial"/>
                <w:color w:val="000000"/>
                <w:sz w:val="24"/>
                <w:szCs w:val="24"/>
                <w:lang w:eastAsia="es-CR"/>
              </w:rPr>
              <w:t xml:space="preserve">Informe de Ejecución de Egresos </w:t>
            </w:r>
          </w:p>
        </w:tc>
      </w:tr>
      <w:tr w:rsidR="0044106E" w:rsidRPr="0044106E" w14:paraId="6DAA0AA2" w14:textId="77777777" w:rsidTr="0044106E">
        <w:trPr>
          <w:trHeight w:val="315"/>
        </w:trPr>
        <w:tc>
          <w:tcPr>
            <w:tcW w:w="12696" w:type="dxa"/>
            <w:tcBorders>
              <w:top w:val="nil"/>
              <w:left w:val="nil"/>
              <w:bottom w:val="nil"/>
              <w:right w:val="nil"/>
            </w:tcBorders>
            <w:shd w:val="clear" w:color="auto" w:fill="auto"/>
            <w:noWrap/>
            <w:vAlign w:val="center"/>
            <w:hideMark/>
          </w:tcPr>
          <w:p w14:paraId="04B6A379" w14:textId="77777777" w:rsidR="0044106E" w:rsidRPr="0044106E" w:rsidRDefault="0044106E" w:rsidP="0044106E">
            <w:pPr>
              <w:spacing w:after="0" w:line="240" w:lineRule="auto"/>
              <w:jc w:val="center"/>
              <w:rPr>
                <w:rFonts w:ascii="Arial" w:eastAsia="Times New Roman" w:hAnsi="Arial" w:cs="Arial"/>
                <w:b/>
                <w:bCs/>
                <w:color w:val="000000"/>
                <w:sz w:val="24"/>
                <w:szCs w:val="24"/>
                <w:lang w:eastAsia="es-CR"/>
              </w:rPr>
            </w:pPr>
            <w:r w:rsidRPr="0044106E">
              <w:rPr>
                <w:rFonts w:ascii="Arial" w:eastAsia="Times New Roman" w:hAnsi="Arial" w:cs="Arial"/>
                <w:b/>
                <w:bCs/>
                <w:color w:val="000000"/>
                <w:sz w:val="24"/>
                <w:szCs w:val="24"/>
                <w:lang w:eastAsia="es-CR"/>
              </w:rPr>
              <w:t xml:space="preserve"> -Comparativo según Clasificador Económico del Gasto- </w:t>
            </w:r>
          </w:p>
        </w:tc>
      </w:tr>
      <w:tr w:rsidR="0044106E" w:rsidRPr="0044106E" w14:paraId="16BD55CE" w14:textId="77777777" w:rsidTr="0044106E">
        <w:trPr>
          <w:trHeight w:val="300"/>
        </w:trPr>
        <w:tc>
          <w:tcPr>
            <w:tcW w:w="12696" w:type="dxa"/>
            <w:tcBorders>
              <w:top w:val="nil"/>
              <w:left w:val="nil"/>
              <w:bottom w:val="nil"/>
              <w:right w:val="nil"/>
            </w:tcBorders>
            <w:shd w:val="clear" w:color="auto" w:fill="auto"/>
            <w:noWrap/>
            <w:vAlign w:val="center"/>
            <w:hideMark/>
          </w:tcPr>
          <w:p w14:paraId="2F66D31A" w14:textId="77777777" w:rsidR="0044106E" w:rsidRPr="0044106E" w:rsidRDefault="0044106E" w:rsidP="0044106E">
            <w:pPr>
              <w:spacing w:after="0" w:line="240" w:lineRule="auto"/>
              <w:jc w:val="center"/>
              <w:rPr>
                <w:rFonts w:ascii="Arial" w:eastAsia="Times New Roman" w:hAnsi="Arial" w:cs="Arial"/>
                <w:color w:val="000000"/>
                <w:sz w:val="24"/>
                <w:szCs w:val="24"/>
                <w:lang w:eastAsia="es-CR"/>
              </w:rPr>
            </w:pPr>
            <w:r w:rsidRPr="0044106E">
              <w:rPr>
                <w:rFonts w:ascii="Arial" w:eastAsia="Times New Roman" w:hAnsi="Arial" w:cs="Arial"/>
                <w:color w:val="000000"/>
                <w:sz w:val="24"/>
                <w:szCs w:val="24"/>
                <w:lang w:eastAsia="es-CR"/>
              </w:rPr>
              <w:t>Programa único: Benemérito Cuerpo de Bomberos de Costa Rica</w:t>
            </w:r>
          </w:p>
        </w:tc>
      </w:tr>
      <w:tr w:rsidR="0044106E" w:rsidRPr="0044106E" w14:paraId="7E01C13E" w14:textId="77777777" w:rsidTr="0044106E">
        <w:trPr>
          <w:trHeight w:val="315"/>
        </w:trPr>
        <w:tc>
          <w:tcPr>
            <w:tcW w:w="12696" w:type="dxa"/>
            <w:tcBorders>
              <w:top w:val="nil"/>
              <w:left w:val="nil"/>
              <w:bottom w:val="nil"/>
              <w:right w:val="nil"/>
            </w:tcBorders>
            <w:shd w:val="clear" w:color="auto" w:fill="auto"/>
            <w:noWrap/>
            <w:vAlign w:val="center"/>
            <w:hideMark/>
          </w:tcPr>
          <w:p w14:paraId="78916CA4" w14:textId="77777777" w:rsidR="0044106E" w:rsidRPr="0044106E" w:rsidRDefault="0044106E" w:rsidP="0044106E">
            <w:pPr>
              <w:spacing w:after="0" w:line="240" w:lineRule="auto"/>
              <w:jc w:val="center"/>
              <w:rPr>
                <w:rFonts w:ascii="Arial" w:eastAsia="Times New Roman" w:hAnsi="Arial" w:cs="Arial"/>
                <w:b/>
                <w:bCs/>
                <w:color w:val="000000"/>
                <w:sz w:val="24"/>
                <w:szCs w:val="24"/>
                <w:lang w:eastAsia="es-CR"/>
              </w:rPr>
            </w:pPr>
            <w:r w:rsidRPr="0044106E">
              <w:rPr>
                <w:rFonts w:ascii="Arial" w:eastAsia="Times New Roman" w:hAnsi="Arial" w:cs="Arial"/>
                <w:b/>
                <w:bCs/>
                <w:color w:val="000000"/>
                <w:sz w:val="24"/>
                <w:szCs w:val="24"/>
                <w:lang w:eastAsia="es-CR"/>
              </w:rPr>
              <w:t>III Trimestre 2022</w:t>
            </w:r>
          </w:p>
        </w:tc>
      </w:tr>
    </w:tbl>
    <w:p w14:paraId="5C5F8243" w14:textId="755FE5E3" w:rsidR="0044106E" w:rsidRDefault="0044106E" w:rsidP="0044106E">
      <w:pPr>
        <w:rPr>
          <w:b/>
          <w:sz w:val="20"/>
          <w:lang w:val="es-MX"/>
        </w:rPr>
      </w:pPr>
      <w:r w:rsidRPr="0044106E">
        <w:rPr>
          <w:noProof/>
        </w:rPr>
        <w:drawing>
          <wp:anchor distT="0" distB="0" distL="114300" distR="114300" simplePos="0" relativeHeight="251676672" behindDoc="1" locked="0" layoutInCell="1" allowOverlap="1" wp14:anchorId="1BC14577" wp14:editId="2F2550A5">
            <wp:simplePos x="0" y="0"/>
            <wp:positionH relativeFrom="margin">
              <wp:align>left</wp:align>
            </wp:positionH>
            <wp:positionV relativeFrom="paragraph">
              <wp:posOffset>204526</wp:posOffset>
            </wp:positionV>
            <wp:extent cx="8038465" cy="2297430"/>
            <wp:effectExtent l="0" t="0" r="635" b="7620"/>
            <wp:wrapTight wrapText="bothSides">
              <wp:wrapPolygon edited="0">
                <wp:start x="0" y="0"/>
                <wp:lineTo x="0" y="21493"/>
                <wp:lineTo x="21551" y="21493"/>
                <wp:lineTo x="21551" y="0"/>
                <wp:lineTo x="0" y="0"/>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86259" cy="23687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12822D" w14:textId="77777777" w:rsidR="00DD042D" w:rsidRDefault="00DD042D" w:rsidP="0044106E">
      <w:pPr>
        <w:rPr>
          <w:b/>
          <w:sz w:val="20"/>
          <w:lang w:val="es-MX"/>
        </w:rPr>
      </w:pPr>
    </w:p>
    <w:p w14:paraId="6F3BE8FE" w14:textId="0CDB387B" w:rsidR="0044106E" w:rsidRPr="00AA6EF3" w:rsidRDefault="0044106E" w:rsidP="0044106E">
      <w:pPr>
        <w:rPr>
          <w:rFonts w:ascii="Arial" w:hAnsi="Arial" w:cs="Arial"/>
          <w:sz w:val="24"/>
          <w:lang w:val="es-MX"/>
        </w:rPr>
      </w:pPr>
      <w:r w:rsidRPr="00F6285B">
        <w:rPr>
          <w:b/>
          <w:sz w:val="20"/>
          <w:lang w:val="es-MX"/>
        </w:rPr>
        <w:t>Fuente:  Área de Gestión de Recursos Económicos</w:t>
      </w:r>
    </w:p>
    <w:p w14:paraId="5F12CC7E" w14:textId="72B8D022" w:rsidR="0044106E" w:rsidRDefault="0044106E" w:rsidP="00AA6EF3">
      <w:pPr>
        <w:rPr>
          <w:rFonts w:ascii="Arial" w:hAnsi="Arial" w:cs="Arial"/>
          <w:sz w:val="24"/>
          <w:lang w:val="es-MX"/>
        </w:rPr>
      </w:pPr>
    </w:p>
    <w:p w14:paraId="514D7758" w14:textId="77777777" w:rsidR="00213C8A" w:rsidRDefault="00213C8A" w:rsidP="00AA6EF3">
      <w:pPr>
        <w:rPr>
          <w:rFonts w:ascii="Arial" w:hAnsi="Arial" w:cs="Arial"/>
          <w:sz w:val="24"/>
          <w:lang w:val="es-MX"/>
        </w:rPr>
        <w:sectPr w:rsidR="00213C8A" w:rsidSect="00C45C29">
          <w:pgSz w:w="15840" w:h="12240" w:orient="landscape"/>
          <w:pgMar w:top="1701" w:right="1417" w:bottom="1701" w:left="1417" w:header="708" w:footer="708" w:gutter="0"/>
          <w:cols w:space="708"/>
          <w:docGrid w:linePitch="360"/>
        </w:sectPr>
      </w:pPr>
    </w:p>
    <w:p w14:paraId="37158CD5" w14:textId="4986BEAB" w:rsidR="00C45C29" w:rsidRDefault="00C45C29" w:rsidP="00AA6EF3">
      <w:pPr>
        <w:rPr>
          <w:rFonts w:ascii="Arial" w:hAnsi="Arial" w:cs="Arial"/>
          <w:sz w:val="24"/>
          <w:lang w:val="es-MX"/>
        </w:rPr>
      </w:pPr>
    </w:p>
    <w:p w14:paraId="7B154D3C" w14:textId="77777777" w:rsidR="00C45C29" w:rsidRDefault="00C45C29" w:rsidP="00C45C29">
      <w:pPr>
        <w:pStyle w:val="Ttulo2"/>
        <w:rPr>
          <w:rFonts w:ascii="Arial" w:hAnsi="Arial" w:cs="Arial"/>
          <w:b/>
          <w:bCs/>
          <w:color w:val="000000" w:themeColor="text1"/>
          <w:sz w:val="28"/>
          <w:szCs w:val="28"/>
          <w:u w:val="single"/>
          <w:lang w:val="es-MX"/>
        </w:rPr>
      </w:pPr>
    </w:p>
    <w:p w14:paraId="7B0F4FE8" w14:textId="0A0CD377" w:rsidR="00C45C29" w:rsidRPr="00C6077C" w:rsidRDefault="00C45C29" w:rsidP="00C45C29">
      <w:pPr>
        <w:pStyle w:val="Ttulo2"/>
        <w:rPr>
          <w:rFonts w:ascii="Arial" w:hAnsi="Arial" w:cs="Arial"/>
          <w:b/>
          <w:bCs/>
          <w:color w:val="000000" w:themeColor="text1"/>
          <w:sz w:val="28"/>
          <w:szCs w:val="28"/>
          <w:u w:val="single"/>
          <w:lang w:val="es-MX"/>
        </w:rPr>
      </w:pPr>
      <w:bookmarkStart w:id="8" w:name="_Toc115779851"/>
      <w:r>
        <w:rPr>
          <w:rFonts w:ascii="Arial" w:hAnsi="Arial" w:cs="Arial"/>
          <w:b/>
          <w:bCs/>
          <w:color w:val="000000" w:themeColor="text1"/>
          <w:sz w:val="28"/>
          <w:szCs w:val="28"/>
          <w:u w:val="single"/>
          <w:lang w:val="es-MX"/>
        </w:rPr>
        <w:t>D</w:t>
      </w:r>
      <w:r w:rsidRPr="00C6077C">
        <w:rPr>
          <w:rFonts w:ascii="Arial" w:hAnsi="Arial" w:cs="Arial"/>
          <w:b/>
          <w:bCs/>
          <w:color w:val="000000" w:themeColor="text1"/>
          <w:sz w:val="28"/>
          <w:szCs w:val="28"/>
          <w:u w:val="single"/>
          <w:lang w:val="es-MX"/>
        </w:rPr>
        <w:t>. INDICADORES</w:t>
      </w:r>
      <w:bookmarkEnd w:id="8"/>
    </w:p>
    <w:p w14:paraId="15795F49" w14:textId="77777777" w:rsidR="00C45C29" w:rsidRDefault="00C45C29" w:rsidP="00C45C29">
      <w:pPr>
        <w:jc w:val="both"/>
        <w:rPr>
          <w:rFonts w:ascii="Arial" w:hAnsi="Arial" w:cs="Arial"/>
          <w:sz w:val="24"/>
          <w:lang w:val="es-MX"/>
        </w:rPr>
      </w:pPr>
    </w:p>
    <w:p w14:paraId="6C492B7D" w14:textId="77777777" w:rsidR="00C45C29" w:rsidRDefault="00C45C29" w:rsidP="00C45C29">
      <w:pPr>
        <w:jc w:val="both"/>
        <w:rPr>
          <w:rFonts w:ascii="Arial" w:hAnsi="Arial" w:cs="Arial"/>
          <w:sz w:val="24"/>
          <w:lang w:val="es-MX"/>
        </w:rPr>
      </w:pPr>
      <w:r>
        <w:rPr>
          <w:rFonts w:ascii="Arial" w:hAnsi="Arial" w:cs="Arial"/>
          <w:sz w:val="24"/>
          <w:lang w:val="es-MX"/>
        </w:rPr>
        <w:t>Por último y con el fin de evaluar la gestión o desempeño de la institución, se presenta en el cuadro 4, varios indicadores que nos muestran la relación presentada al 30 de setiembre del 2022 entre los ingresos y egresos.</w:t>
      </w:r>
    </w:p>
    <w:p w14:paraId="4E164E8C" w14:textId="77777777" w:rsidR="00C45C29" w:rsidRDefault="00C45C29" w:rsidP="00C45C29">
      <w:pPr>
        <w:jc w:val="both"/>
        <w:rPr>
          <w:rFonts w:ascii="Arial" w:hAnsi="Arial" w:cs="Arial"/>
          <w:sz w:val="24"/>
          <w:lang w:val="es-MX"/>
        </w:rPr>
      </w:pPr>
      <w:r>
        <w:rPr>
          <w:rFonts w:ascii="Arial" w:hAnsi="Arial" w:cs="Arial"/>
          <w:noProof/>
          <w:sz w:val="24"/>
          <w:lang w:val="es-MX"/>
        </w:rPr>
        <w:drawing>
          <wp:anchor distT="0" distB="0" distL="114300" distR="114300" simplePos="0" relativeHeight="251682816" behindDoc="1" locked="0" layoutInCell="1" allowOverlap="1" wp14:anchorId="3F8ADB59" wp14:editId="6E60ACC7">
            <wp:simplePos x="0" y="0"/>
            <wp:positionH relativeFrom="margin">
              <wp:align>left</wp:align>
            </wp:positionH>
            <wp:positionV relativeFrom="paragraph">
              <wp:posOffset>233900</wp:posOffset>
            </wp:positionV>
            <wp:extent cx="5613400" cy="2385695"/>
            <wp:effectExtent l="0" t="0" r="6350" b="0"/>
            <wp:wrapTight wrapText="bothSides">
              <wp:wrapPolygon edited="0">
                <wp:start x="0" y="0"/>
                <wp:lineTo x="0" y="21387"/>
                <wp:lineTo x="21551" y="21387"/>
                <wp:lineTo x="21551" y="0"/>
                <wp:lineTo x="0" y="0"/>
              </wp:wrapPolygon>
            </wp:wrapTight>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3400" cy="2385695"/>
                    </a:xfrm>
                    <a:prstGeom prst="rect">
                      <a:avLst/>
                    </a:prstGeom>
                    <a:noFill/>
                    <a:ln>
                      <a:noFill/>
                    </a:ln>
                  </pic:spPr>
                </pic:pic>
              </a:graphicData>
            </a:graphic>
          </wp:anchor>
        </w:drawing>
      </w:r>
    </w:p>
    <w:p w14:paraId="285D0BCE" w14:textId="23E840EA" w:rsidR="00C45C29" w:rsidRDefault="00C45C29" w:rsidP="00C45C29">
      <w:pPr>
        <w:rPr>
          <w:b/>
          <w:sz w:val="20"/>
          <w:lang w:val="es-MX"/>
        </w:rPr>
      </w:pPr>
      <w:r w:rsidRPr="00F6285B">
        <w:rPr>
          <w:b/>
          <w:sz w:val="20"/>
          <w:lang w:val="es-MX"/>
        </w:rPr>
        <w:t>Fuente:  Área de Gestión de Recursos Económicos</w:t>
      </w:r>
    </w:p>
    <w:p w14:paraId="200F1199" w14:textId="7D22E415" w:rsidR="00213C8A" w:rsidRDefault="00213C8A" w:rsidP="00C45C29">
      <w:pPr>
        <w:rPr>
          <w:rFonts w:ascii="Arial" w:hAnsi="Arial" w:cs="Arial"/>
          <w:sz w:val="24"/>
          <w:lang w:val="es-MX"/>
        </w:rPr>
      </w:pPr>
    </w:p>
    <w:p w14:paraId="3E95011A" w14:textId="77777777" w:rsidR="00213C8A" w:rsidRDefault="00213C8A" w:rsidP="00C45C29">
      <w:pPr>
        <w:rPr>
          <w:rFonts w:ascii="Arial" w:hAnsi="Arial" w:cs="Arial"/>
          <w:sz w:val="24"/>
          <w:lang w:val="es-MX"/>
        </w:rPr>
      </w:pPr>
      <w:bookmarkStart w:id="9" w:name="_GoBack"/>
      <w:bookmarkEnd w:id="9"/>
    </w:p>
    <w:p w14:paraId="149AA1F3" w14:textId="77777777" w:rsidR="00C45C29" w:rsidRDefault="00C45C29" w:rsidP="00C45C29">
      <w:pPr>
        <w:pStyle w:val="Prrafodelista"/>
        <w:numPr>
          <w:ilvl w:val="0"/>
          <w:numId w:val="3"/>
        </w:numPr>
        <w:jc w:val="both"/>
        <w:rPr>
          <w:rFonts w:ascii="Arial" w:hAnsi="Arial" w:cs="Arial"/>
          <w:sz w:val="24"/>
          <w:lang w:val="es-MX"/>
        </w:rPr>
      </w:pPr>
      <w:r>
        <w:rPr>
          <w:rFonts w:ascii="Arial" w:hAnsi="Arial" w:cs="Arial"/>
          <w:sz w:val="24"/>
          <w:lang w:val="es-MX"/>
        </w:rPr>
        <w:t>Los compromisos fueron cubiertos por los ingresos percibidos.</w:t>
      </w:r>
    </w:p>
    <w:p w14:paraId="0B439F07" w14:textId="77777777" w:rsidR="00C45C29" w:rsidRDefault="00C45C29" w:rsidP="00C45C29">
      <w:pPr>
        <w:pStyle w:val="Prrafodelista"/>
        <w:numPr>
          <w:ilvl w:val="0"/>
          <w:numId w:val="3"/>
        </w:numPr>
        <w:jc w:val="both"/>
        <w:rPr>
          <w:rFonts w:ascii="Arial" w:hAnsi="Arial" w:cs="Arial"/>
          <w:sz w:val="24"/>
          <w:lang w:val="es-MX"/>
        </w:rPr>
      </w:pPr>
      <w:r>
        <w:rPr>
          <w:rFonts w:ascii="Arial" w:hAnsi="Arial" w:cs="Arial"/>
          <w:sz w:val="24"/>
          <w:lang w:val="es-MX"/>
        </w:rPr>
        <w:t>El 76% de los ingresos percibidos proviene del aporte del 4% sobre las primas de seguros.</w:t>
      </w:r>
    </w:p>
    <w:p w14:paraId="3C38886A" w14:textId="77777777" w:rsidR="00C45C29" w:rsidRDefault="00C45C29" w:rsidP="00C45C29">
      <w:pPr>
        <w:pStyle w:val="Prrafodelista"/>
        <w:numPr>
          <w:ilvl w:val="0"/>
          <w:numId w:val="3"/>
        </w:numPr>
        <w:jc w:val="both"/>
        <w:rPr>
          <w:rFonts w:ascii="Arial" w:hAnsi="Arial" w:cs="Arial"/>
          <w:sz w:val="24"/>
          <w:lang w:val="es-MX"/>
        </w:rPr>
      </w:pPr>
      <w:r>
        <w:rPr>
          <w:rFonts w:ascii="Arial" w:hAnsi="Arial" w:cs="Arial"/>
          <w:sz w:val="24"/>
          <w:lang w:val="es-MX"/>
        </w:rPr>
        <w:t>En cumplimiento a la normativa, los gastos corrientes son cubiertos con ingresos corrientes.</w:t>
      </w:r>
    </w:p>
    <w:p w14:paraId="5FD61F2D" w14:textId="77777777" w:rsidR="00C45C29" w:rsidRDefault="00C45C29" w:rsidP="00C45C29">
      <w:pPr>
        <w:pStyle w:val="Prrafodelista"/>
        <w:numPr>
          <w:ilvl w:val="0"/>
          <w:numId w:val="3"/>
        </w:numPr>
        <w:jc w:val="both"/>
        <w:rPr>
          <w:rFonts w:ascii="Arial" w:hAnsi="Arial" w:cs="Arial"/>
          <w:sz w:val="24"/>
          <w:lang w:val="es-MX"/>
        </w:rPr>
      </w:pPr>
      <w:r>
        <w:rPr>
          <w:rFonts w:ascii="Arial" w:hAnsi="Arial" w:cs="Arial"/>
          <w:sz w:val="24"/>
          <w:lang w:val="es-MX"/>
        </w:rPr>
        <w:t>Los egresos corrientes corresponden a un  78,3% del total de egresos</w:t>
      </w:r>
    </w:p>
    <w:p w14:paraId="3476E4EE" w14:textId="77777777" w:rsidR="00C45C29" w:rsidRDefault="00C45C29" w:rsidP="00C45C29">
      <w:pPr>
        <w:pStyle w:val="Prrafodelista"/>
        <w:numPr>
          <w:ilvl w:val="0"/>
          <w:numId w:val="3"/>
        </w:numPr>
        <w:jc w:val="both"/>
        <w:rPr>
          <w:rFonts w:ascii="Arial" w:hAnsi="Arial" w:cs="Arial"/>
          <w:sz w:val="24"/>
          <w:lang w:val="es-MX"/>
        </w:rPr>
      </w:pPr>
      <w:r>
        <w:rPr>
          <w:rFonts w:ascii="Arial" w:hAnsi="Arial" w:cs="Arial"/>
          <w:sz w:val="24"/>
          <w:lang w:val="es-MX"/>
        </w:rPr>
        <w:t>Los egresos de capital corresponden a un  19,0% del total de egresos.</w:t>
      </w:r>
    </w:p>
    <w:p w14:paraId="5039414C" w14:textId="77777777" w:rsidR="00C45C29" w:rsidRPr="00AA6EF3" w:rsidRDefault="00C45C29" w:rsidP="00C45C29">
      <w:pPr>
        <w:pStyle w:val="Prrafodelista"/>
        <w:numPr>
          <w:ilvl w:val="0"/>
          <w:numId w:val="3"/>
        </w:numPr>
        <w:jc w:val="both"/>
        <w:rPr>
          <w:rFonts w:ascii="Arial" w:hAnsi="Arial" w:cs="Arial"/>
          <w:sz w:val="24"/>
          <w:lang w:val="es-MX"/>
        </w:rPr>
      </w:pPr>
      <w:r>
        <w:rPr>
          <w:rFonts w:ascii="Arial" w:hAnsi="Arial" w:cs="Arial"/>
          <w:sz w:val="24"/>
          <w:lang w:val="es-MX"/>
        </w:rPr>
        <w:t>Al 30 de septiembre los gastos corrientes han sido cubiertos con los ingresos percibidos del aporte del 4% sobre las primas de seguros.</w:t>
      </w:r>
    </w:p>
    <w:sectPr w:rsidR="00C45C29" w:rsidRPr="00AA6EF3" w:rsidSect="00213C8A">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3D5231" w14:textId="77777777" w:rsidR="00E306CE" w:rsidRDefault="00E306CE" w:rsidP="00E306CE">
      <w:pPr>
        <w:spacing w:after="0" w:line="240" w:lineRule="auto"/>
      </w:pPr>
      <w:r>
        <w:separator/>
      </w:r>
    </w:p>
  </w:endnote>
  <w:endnote w:type="continuationSeparator" w:id="0">
    <w:p w14:paraId="1F81D37A" w14:textId="77777777" w:rsidR="00E306CE" w:rsidRDefault="00E306CE" w:rsidP="00E306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1936860"/>
      <w:docPartObj>
        <w:docPartGallery w:val="Page Numbers (Bottom of Page)"/>
        <w:docPartUnique/>
      </w:docPartObj>
    </w:sdtPr>
    <w:sdtEndPr/>
    <w:sdtContent>
      <w:p w14:paraId="1D2F2480" w14:textId="72DC93E0" w:rsidR="00C6077C" w:rsidRDefault="00C6077C">
        <w:pPr>
          <w:pStyle w:val="Piedepgina"/>
          <w:jc w:val="right"/>
        </w:pPr>
        <w:r>
          <w:fldChar w:fldCharType="begin"/>
        </w:r>
        <w:r>
          <w:instrText>PAGE   \* MERGEFORMAT</w:instrText>
        </w:r>
        <w:r>
          <w:fldChar w:fldCharType="separate"/>
        </w:r>
        <w:r>
          <w:rPr>
            <w:lang w:val="es-ES"/>
          </w:rPr>
          <w:t>2</w:t>
        </w:r>
        <w:r>
          <w:fldChar w:fldCharType="end"/>
        </w:r>
      </w:p>
    </w:sdtContent>
  </w:sdt>
  <w:p w14:paraId="7B087EAD" w14:textId="77777777" w:rsidR="00C6077C" w:rsidRDefault="00C6077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482AFC" w14:textId="77777777" w:rsidR="00E306CE" w:rsidRDefault="00E306CE" w:rsidP="00E306CE">
      <w:pPr>
        <w:spacing w:after="0" w:line="240" w:lineRule="auto"/>
      </w:pPr>
      <w:r>
        <w:separator/>
      </w:r>
    </w:p>
  </w:footnote>
  <w:footnote w:type="continuationSeparator" w:id="0">
    <w:p w14:paraId="1441E6A6" w14:textId="77777777" w:rsidR="00E306CE" w:rsidRDefault="00E306CE" w:rsidP="00E306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4C2E8D"/>
    <w:multiLevelType w:val="hybridMultilevel"/>
    <w:tmpl w:val="71F2BF16"/>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2EA40C3F"/>
    <w:multiLevelType w:val="hybridMultilevel"/>
    <w:tmpl w:val="71F2BF16"/>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4D1A1BAC"/>
    <w:multiLevelType w:val="hybridMultilevel"/>
    <w:tmpl w:val="87042868"/>
    <w:lvl w:ilvl="0" w:tplc="6CA0D212">
      <w:start w:val="1"/>
      <w:numFmt w:val="upperLetter"/>
      <w:lvlText w:val="%1."/>
      <w:lvlJc w:val="left"/>
      <w:pPr>
        <w:ind w:left="480" w:hanging="360"/>
      </w:pPr>
      <w:rPr>
        <w:rFonts w:hint="default"/>
        <w:sz w:val="28"/>
      </w:rPr>
    </w:lvl>
    <w:lvl w:ilvl="1" w:tplc="140A0019" w:tentative="1">
      <w:start w:val="1"/>
      <w:numFmt w:val="lowerLetter"/>
      <w:lvlText w:val="%2."/>
      <w:lvlJc w:val="left"/>
      <w:pPr>
        <w:ind w:left="1200" w:hanging="360"/>
      </w:pPr>
    </w:lvl>
    <w:lvl w:ilvl="2" w:tplc="140A001B" w:tentative="1">
      <w:start w:val="1"/>
      <w:numFmt w:val="lowerRoman"/>
      <w:lvlText w:val="%3."/>
      <w:lvlJc w:val="right"/>
      <w:pPr>
        <w:ind w:left="1920" w:hanging="180"/>
      </w:pPr>
    </w:lvl>
    <w:lvl w:ilvl="3" w:tplc="140A000F" w:tentative="1">
      <w:start w:val="1"/>
      <w:numFmt w:val="decimal"/>
      <w:lvlText w:val="%4."/>
      <w:lvlJc w:val="left"/>
      <w:pPr>
        <w:ind w:left="2640" w:hanging="360"/>
      </w:pPr>
    </w:lvl>
    <w:lvl w:ilvl="4" w:tplc="140A0019" w:tentative="1">
      <w:start w:val="1"/>
      <w:numFmt w:val="lowerLetter"/>
      <w:lvlText w:val="%5."/>
      <w:lvlJc w:val="left"/>
      <w:pPr>
        <w:ind w:left="3360" w:hanging="360"/>
      </w:pPr>
    </w:lvl>
    <w:lvl w:ilvl="5" w:tplc="140A001B" w:tentative="1">
      <w:start w:val="1"/>
      <w:numFmt w:val="lowerRoman"/>
      <w:lvlText w:val="%6."/>
      <w:lvlJc w:val="right"/>
      <w:pPr>
        <w:ind w:left="4080" w:hanging="180"/>
      </w:pPr>
    </w:lvl>
    <w:lvl w:ilvl="6" w:tplc="140A000F" w:tentative="1">
      <w:start w:val="1"/>
      <w:numFmt w:val="decimal"/>
      <w:lvlText w:val="%7."/>
      <w:lvlJc w:val="left"/>
      <w:pPr>
        <w:ind w:left="4800" w:hanging="360"/>
      </w:pPr>
    </w:lvl>
    <w:lvl w:ilvl="7" w:tplc="140A0019" w:tentative="1">
      <w:start w:val="1"/>
      <w:numFmt w:val="lowerLetter"/>
      <w:lvlText w:val="%8."/>
      <w:lvlJc w:val="left"/>
      <w:pPr>
        <w:ind w:left="5520" w:hanging="360"/>
      </w:pPr>
    </w:lvl>
    <w:lvl w:ilvl="8" w:tplc="140A001B" w:tentative="1">
      <w:start w:val="1"/>
      <w:numFmt w:val="lowerRoman"/>
      <w:lvlText w:val="%9."/>
      <w:lvlJc w:val="right"/>
      <w:pPr>
        <w:ind w:left="6240" w:hanging="180"/>
      </w:pPr>
    </w:lvl>
  </w:abstractNum>
  <w:abstractNum w:abstractNumId="3" w15:restartNumberingAfterBreak="0">
    <w:nsid w:val="4E9745B7"/>
    <w:multiLevelType w:val="hybridMultilevel"/>
    <w:tmpl w:val="BBF2EA64"/>
    <w:lvl w:ilvl="0" w:tplc="140A0015">
      <w:start w:val="2"/>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53CD2193"/>
    <w:multiLevelType w:val="hybridMultilevel"/>
    <w:tmpl w:val="3A22A6C0"/>
    <w:lvl w:ilvl="0" w:tplc="DC3A3AFC">
      <w:start w:val="1"/>
      <w:numFmt w:val="upperLetter"/>
      <w:lvlText w:val="%1."/>
      <w:lvlJc w:val="left"/>
      <w:pPr>
        <w:ind w:left="580" w:hanging="360"/>
      </w:pPr>
      <w:rPr>
        <w:rFonts w:ascii="Arial" w:eastAsiaTheme="minorHAnsi" w:hAnsi="Arial" w:cs="Arial" w:hint="default"/>
        <w:b/>
        <w:color w:val="0563C1" w:themeColor="hyperlink"/>
        <w:u w:val="single"/>
      </w:rPr>
    </w:lvl>
    <w:lvl w:ilvl="1" w:tplc="140A0019" w:tentative="1">
      <w:start w:val="1"/>
      <w:numFmt w:val="lowerLetter"/>
      <w:lvlText w:val="%2."/>
      <w:lvlJc w:val="left"/>
      <w:pPr>
        <w:ind w:left="1300" w:hanging="360"/>
      </w:pPr>
    </w:lvl>
    <w:lvl w:ilvl="2" w:tplc="140A001B" w:tentative="1">
      <w:start w:val="1"/>
      <w:numFmt w:val="lowerRoman"/>
      <w:lvlText w:val="%3."/>
      <w:lvlJc w:val="right"/>
      <w:pPr>
        <w:ind w:left="2020" w:hanging="180"/>
      </w:pPr>
    </w:lvl>
    <w:lvl w:ilvl="3" w:tplc="140A000F" w:tentative="1">
      <w:start w:val="1"/>
      <w:numFmt w:val="decimal"/>
      <w:lvlText w:val="%4."/>
      <w:lvlJc w:val="left"/>
      <w:pPr>
        <w:ind w:left="2740" w:hanging="360"/>
      </w:pPr>
    </w:lvl>
    <w:lvl w:ilvl="4" w:tplc="140A0019" w:tentative="1">
      <w:start w:val="1"/>
      <w:numFmt w:val="lowerLetter"/>
      <w:lvlText w:val="%5."/>
      <w:lvlJc w:val="left"/>
      <w:pPr>
        <w:ind w:left="3460" w:hanging="360"/>
      </w:pPr>
    </w:lvl>
    <w:lvl w:ilvl="5" w:tplc="140A001B" w:tentative="1">
      <w:start w:val="1"/>
      <w:numFmt w:val="lowerRoman"/>
      <w:lvlText w:val="%6."/>
      <w:lvlJc w:val="right"/>
      <w:pPr>
        <w:ind w:left="4180" w:hanging="180"/>
      </w:pPr>
    </w:lvl>
    <w:lvl w:ilvl="6" w:tplc="140A000F" w:tentative="1">
      <w:start w:val="1"/>
      <w:numFmt w:val="decimal"/>
      <w:lvlText w:val="%7."/>
      <w:lvlJc w:val="left"/>
      <w:pPr>
        <w:ind w:left="4900" w:hanging="360"/>
      </w:pPr>
    </w:lvl>
    <w:lvl w:ilvl="7" w:tplc="140A0019" w:tentative="1">
      <w:start w:val="1"/>
      <w:numFmt w:val="lowerLetter"/>
      <w:lvlText w:val="%8."/>
      <w:lvlJc w:val="left"/>
      <w:pPr>
        <w:ind w:left="5620" w:hanging="360"/>
      </w:pPr>
    </w:lvl>
    <w:lvl w:ilvl="8" w:tplc="140A001B" w:tentative="1">
      <w:start w:val="1"/>
      <w:numFmt w:val="lowerRoman"/>
      <w:lvlText w:val="%9."/>
      <w:lvlJc w:val="right"/>
      <w:pPr>
        <w:ind w:left="6340" w:hanging="180"/>
      </w:pPr>
    </w:lvl>
  </w:abstractNum>
  <w:abstractNum w:abstractNumId="5" w15:restartNumberingAfterBreak="0">
    <w:nsid w:val="634F13F3"/>
    <w:multiLevelType w:val="hybridMultilevel"/>
    <w:tmpl w:val="EDAC9A8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74D73CCF"/>
    <w:multiLevelType w:val="hybridMultilevel"/>
    <w:tmpl w:val="D458BEAE"/>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1"/>
  </w:num>
  <w:num w:numId="2">
    <w:abstractNumId w:val="0"/>
  </w:num>
  <w:num w:numId="3">
    <w:abstractNumId w:val="5"/>
  </w:num>
  <w:num w:numId="4">
    <w:abstractNumId w:val="3"/>
  </w:num>
  <w:num w:numId="5">
    <w:abstractNumId w:val="2"/>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5478"/>
    <w:rsid w:val="00000AA6"/>
    <w:rsid w:val="0000796D"/>
    <w:rsid w:val="00035E1E"/>
    <w:rsid w:val="00064E96"/>
    <w:rsid w:val="000861E8"/>
    <w:rsid w:val="000B6D20"/>
    <w:rsid w:val="001004FF"/>
    <w:rsid w:val="00103984"/>
    <w:rsid w:val="00114F9B"/>
    <w:rsid w:val="00117E38"/>
    <w:rsid w:val="0012667F"/>
    <w:rsid w:val="001416BF"/>
    <w:rsid w:val="0015520E"/>
    <w:rsid w:val="0016198A"/>
    <w:rsid w:val="00167CD7"/>
    <w:rsid w:val="00172755"/>
    <w:rsid w:val="00187B10"/>
    <w:rsid w:val="002063E4"/>
    <w:rsid w:val="00213C8A"/>
    <w:rsid w:val="0023240D"/>
    <w:rsid w:val="00243B61"/>
    <w:rsid w:val="0024751C"/>
    <w:rsid w:val="00255E75"/>
    <w:rsid w:val="00261A3A"/>
    <w:rsid w:val="002967DA"/>
    <w:rsid w:val="002E5054"/>
    <w:rsid w:val="002F3074"/>
    <w:rsid w:val="00304DFC"/>
    <w:rsid w:val="00314510"/>
    <w:rsid w:val="00337C04"/>
    <w:rsid w:val="003504A6"/>
    <w:rsid w:val="00357938"/>
    <w:rsid w:val="00363A60"/>
    <w:rsid w:val="003B1671"/>
    <w:rsid w:val="004135EE"/>
    <w:rsid w:val="00415659"/>
    <w:rsid w:val="0044106E"/>
    <w:rsid w:val="00451DC9"/>
    <w:rsid w:val="00470909"/>
    <w:rsid w:val="00476C95"/>
    <w:rsid w:val="004B51F1"/>
    <w:rsid w:val="004C74A2"/>
    <w:rsid w:val="004D1F30"/>
    <w:rsid w:val="004D6930"/>
    <w:rsid w:val="00511A41"/>
    <w:rsid w:val="00536967"/>
    <w:rsid w:val="00566AD3"/>
    <w:rsid w:val="005C113B"/>
    <w:rsid w:val="005C1887"/>
    <w:rsid w:val="005F7674"/>
    <w:rsid w:val="00661449"/>
    <w:rsid w:val="0067292F"/>
    <w:rsid w:val="00674C41"/>
    <w:rsid w:val="0069386B"/>
    <w:rsid w:val="00697CFC"/>
    <w:rsid w:val="006B0CE8"/>
    <w:rsid w:val="006B5E84"/>
    <w:rsid w:val="006E39FA"/>
    <w:rsid w:val="006F1AAB"/>
    <w:rsid w:val="006F5F8A"/>
    <w:rsid w:val="00715EF3"/>
    <w:rsid w:val="0072006F"/>
    <w:rsid w:val="00743B12"/>
    <w:rsid w:val="0074717D"/>
    <w:rsid w:val="007A10A4"/>
    <w:rsid w:val="00816F65"/>
    <w:rsid w:val="00852B4E"/>
    <w:rsid w:val="00864028"/>
    <w:rsid w:val="008E0AD9"/>
    <w:rsid w:val="008E48F5"/>
    <w:rsid w:val="009313EB"/>
    <w:rsid w:val="00962832"/>
    <w:rsid w:val="00974A48"/>
    <w:rsid w:val="00990515"/>
    <w:rsid w:val="00A13E8B"/>
    <w:rsid w:val="00A81AE8"/>
    <w:rsid w:val="00A9473C"/>
    <w:rsid w:val="00AA0B26"/>
    <w:rsid w:val="00AA6EF3"/>
    <w:rsid w:val="00AE3CEB"/>
    <w:rsid w:val="00B42A0F"/>
    <w:rsid w:val="00B8449D"/>
    <w:rsid w:val="00B921B0"/>
    <w:rsid w:val="00BE09DA"/>
    <w:rsid w:val="00C04781"/>
    <w:rsid w:val="00C04FA9"/>
    <w:rsid w:val="00C2478F"/>
    <w:rsid w:val="00C407EC"/>
    <w:rsid w:val="00C44B82"/>
    <w:rsid w:val="00C45C29"/>
    <w:rsid w:val="00C51A8D"/>
    <w:rsid w:val="00C6077C"/>
    <w:rsid w:val="00C77D2D"/>
    <w:rsid w:val="00C87440"/>
    <w:rsid w:val="00CB4CA7"/>
    <w:rsid w:val="00DA21A1"/>
    <w:rsid w:val="00DA517B"/>
    <w:rsid w:val="00DB514B"/>
    <w:rsid w:val="00DD042D"/>
    <w:rsid w:val="00E306CE"/>
    <w:rsid w:val="00E470CE"/>
    <w:rsid w:val="00E85478"/>
    <w:rsid w:val="00E92227"/>
    <w:rsid w:val="00EC3D28"/>
    <w:rsid w:val="00ED11F7"/>
    <w:rsid w:val="00EE317A"/>
    <w:rsid w:val="00F21280"/>
    <w:rsid w:val="00F6285B"/>
    <w:rsid w:val="00F71CAE"/>
    <w:rsid w:val="00F95211"/>
    <w:rsid w:val="00FB1B9C"/>
    <w:rsid w:val="00FD26CB"/>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E55821A"/>
  <w15:chartTrackingRefBased/>
  <w15:docId w15:val="{8E177383-1F68-4232-B0DF-E859FA384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077C"/>
  </w:style>
  <w:style w:type="paragraph" w:styleId="Ttulo1">
    <w:name w:val="heading 1"/>
    <w:basedOn w:val="Normal"/>
    <w:next w:val="Normal"/>
    <w:link w:val="Ttulo1Car"/>
    <w:uiPriority w:val="9"/>
    <w:qFormat/>
    <w:rsid w:val="0096283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96283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B1671"/>
    <w:pPr>
      <w:ind w:left="720"/>
      <w:contextualSpacing/>
    </w:pPr>
  </w:style>
  <w:style w:type="paragraph" w:styleId="Textoindependiente">
    <w:name w:val="Body Text"/>
    <w:basedOn w:val="Normal"/>
    <w:link w:val="TextoindependienteCar"/>
    <w:uiPriority w:val="1"/>
    <w:qFormat/>
    <w:rsid w:val="00EE317A"/>
    <w:pPr>
      <w:widowControl w:val="0"/>
      <w:autoSpaceDE w:val="0"/>
      <w:autoSpaceDN w:val="0"/>
      <w:spacing w:after="0" w:line="240" w:lineRule="auto"/>
    </w:pPr>
    <w:rPr>
      <w:rFonts w:ascii="Arial" w:eastAsia="Arial" w:hAnsi="Arial" w:cs="Arial"/>
      <w:sz w:val="24"/>
      <w:szCs w:val="24"/>
      <w:lang w:val="es-ES"/>
    </w:rPr>
  </w:style>
  <w:style w:type="character" w:customStyle="1" w:styleId="TextoindependienteCar">
    <w:name w:val="Texto independiente Car"/>
    <w:basedOn w:val="Fuentedeprrafopredeter"/>
    <w:link w:val="Textoindependiente"/>
    <w:uiPriority w:val="1"/>
    <w:rsid w:val="00EE317A"/>
    <w:rPr>
      <w:rFonts w:ascii="Arial" w:eastAsia="Arial" w:hAnsi="Arial" w:cs="Arial"/>
      <w:sz w:val="24"/>
      <w:szCs w:val="24"/>
      <w:lang w:val="es-ES"/>
    </w:rPr>
  </w:style>
  <w:style w:type="paragraph" w:styleId="Encabezado">
    <w:name w:val="header"/>
    <w:basedOn w:val="Normal"/>
    <w:link w:val="EncabezadoCar"/>
    <w:uiPriority w:val="99"/>
    <w:unhideWhenUsed/>
    <w:rsid w:val="00E306C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306CE"/>
  </w:style>
  <w:style w:type="paragraph" w:styleId="Piedepgina">
    <w:name w:val="footer"/>
    <w:basedOn w:val="Normal"/>
    <w:link w:val="PiedepginaCar"/>
    <w:uiPriority w:val="99"/>
    <w:unhideWhenUsed/>
    <w:rsid w:val="00E306C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306CE"/>
  </w:style>
  <w:style w:type="character" w:customStyle="1" w:styleId="Ttulo1Car">
    <w:name w:val="Título 1 Car"/>
    <w:basedOn w:val="Fuentedeprrafopredeter"/>
    <w:link w:val="Ttulo1"/>
    <w:uiPriority w:val="9"/>
    <w:rsid w:val="00962832"/>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962832"/>
    <w:pPr>
      <w:outlineLvl w:val="9"/>
    </w:pPr>
    <w:rPr>
      <w:lang w:eastAsia="es-CR"/>
    </w:rPr>
  </w:style>
  <w:style w:type="paragraph" w:styleId="TDC1">
    <w:name w:val="toc 1"/>
    <w:basedOn w:val="Normal"/>
    <w:next w:val="Normal"/>
    <w:autoRedefine/>
    <w:uiPriority w:val="39"/>
    <w:unhideWhenUsed/>
    <w:rsid w:val="00962832"/>
    <w:pPr>
      <w:spacing w:after="100"/>
    </w:pPr>
  </w:style>
  <w:style w:type="character" w:styleId="Hipervnculo">
    <w:name w:val="Hyperlink"/>
    <w:basedOn w:val="Fuentedeprrafopredeter"/>
    <w:uiPriority w:val="99"/>
    <w:unhideWhenUsed/>
    <w:rsid w:val="00962832"/>
    <w:rPr>
      <w:color w:val="0563C1" w:themeColor="hyperlink"/>
      <w:u w:val="single"/>
    </w:rPr>
  </w:style>
  <w:style w:type="character" w:customStyle="1" w:styleId="Ttulo2Car">
    <w:name w:val="Título 2 Car"/>
    <w:basedOn w:val="Fuentedeprrafopredeter"/>
    <w:link w:val="Ttulo2"/>
    <w:uiPriority w:val="9"/>
    <w:rsid w:val="00962832"/>
    <w:rPr>
      <w:rFonts w:asciiTheme="majorHAnsi" w:eastAsiaTheme="majorEastAsia" w:hAnsiTheme="majorHAnsi" w:cstheme="majorBidi"/>
      <w:color w:val="2E74B5" w:themeColor="accent1" w:themeShade="BF"/>
      <w:sz w:val="26"/>
      <w:szCs w:val="26"/>
    </w:rPr>
  </w:style>
  <w:style w:type="paragraph" w:styleId="TDC2">
    <w:name w:val="toc 2"/>
    <w:basedOn w:val="Normal"/>
    <w:next w:val="Normal"/>
    <w:autoRedefine/>
    <w:uiPriority w:val="39"/>
    <w:unhideWhenUsed/>
    <w:rsid w:val="00035E1E"/>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760204">
      <w:bodyDiv w:val="1"/>
      <w:marLeft w:val="0"/>
      <w:marRight w:val="0"/>
      <w:marTop w:val="0"/>
      <w:marBottom w:val="0"/>
      <w:divBdr>
        <w:top w:val="none" w:sz="0" w:space="0" w:color="auto"/>
        <w:left w:val="none" w:sz="0" w:space="0" w:color="auto"/>
        <w:bottom w:val="none" w:sz="0" w:space="0" w:color="auto"/>
        <w:right w:val="none" w:sz="0" w:space="0" w:color="auto"/>
      </w:divBdr>
    </w:div>
    <w:div w:id="138810605">
      <w:bodyDiv w:val="1"/>
      <w:marLeft w:val="0"/>
      <w:marRight w:val="0"/>
      <w:marTop w:val="0"/>
      <w:marBottom w:val="0"/>
      <w:divBdr>
        <w:top w:val="none" w:sz="0" w:space="0" w:color="auto"/>
        <w:left w:val="none" w:sz="0" w:space="0" w:color="auto"/>
        <w:bottom w:val="none" w:sz="0" w:space="0" w:color="auto"/>
        <w:right w:val="none" w:sz="0" w:space="0" w:color="auto"/>
      </w:divBdr>
    </w:div>
    <w:div w:id="185413331">
      <w:bodyDiv w:val="1"/>
      <w:marLeft w:val="0"/>
      <w:marRight w:val="0"/>
      <w:marTop w:val="0"/>
      <w:marBottom w:val="0"/>
      <w:divBdr>
        <w:top w:val="none" w:sz="0" w:space="0" w:color="auto"/>
        <w:left w:val="none" w:sz="0" w:space="0" w:color="auto"/>
        <w:bottom w:val="none" w:sz="0" w:space="0" w:color="auto"/>
        <w:right w:val="none" w:sz="0" w:space="0" w:color="auto"/>
      </w:divBdr>
    </w:div>
    <w:div w:id="186989744">
      <w:bodyDiv w:val="1"/>
      <w:marLeft w:val="0"/>
      <w:marRight w:val="0"/>
      <w:marTop w:val="0"/>
      <w:marBottom w:val="0"/>
      <w:divBdr>
        <w:top w:val="none" w:sz="0" w:space="0" w:color="auto"/>
        <w:left w:val="none" w:sz="0" w:space="0" w:color="auto"/>
        <w:bottom w:val="none" w:sz="0" w:space="0" w:color="auto"/>
        <w:right w:val="none" w:sz="0" w:space="0" w:color="auto"/>
      </w:divBdr>
    </w:div>
    <w:div w:id="195503615">
      <w:bodyDiv w:val="1"/>
      <w:marLeft w:val="0"/>
      <w:marRight w:val="0"/>
      <w:marTop w:val="0"/>
      <w:marBottom w:val="0"/>
      <w:divBdr>
        <w:top w:val="none" w:sz="0" w:space="0" w:color="auto"/>
        <w:left w:val="none" w:sz="0" w:space="0" w:color="auto"/>
        <w:bottom w:val="none" w:sz="0" w:space="0" w:color="auto"/>
        <w:right w:val="none" w:sz="0" w:space="0" w:color="auto"/>
      </w:divBdr>
    </w:div>
    <w:div w:id="426736365">
      <w:bodyDiv w:val="1"/>
      <w:marLeft w:val="0"/>
      <w:marRight w:val="0"/>
      <w:marTop w:val="0"/>
      <w:marBottom w:val="0"/>
      <w:divBdr>
        <w:top w:val="none" w:sz="0" w:space="0" w:color="auto"/>
        <w:left w:val="none" w:sz="0" w:space="0" w:color="auto"/>
        <w:bottom w:val="none" w:sz="0" w:space="0" w:color="auto"/>
        <w:right w:val="none" w:sz="0" w:space="0" w:color="auto"/>
      </w:divBdr>
    </w:div>
    <w:div w:id="543178564">
      <w:bodyDiv w:val="1"/>
      <w:marLeft w:val="0"/>
      <w:marRight w:val="0"/>
      <w:marTop w:val="0"/>
      <w:marBottom w:val="0"/>
      <w:divBdr>
        <w:top w:val="none" w:sz="0" w:space="0" w:color="auto"/>
        <w:left w:val="none" w:sz="0" w:space="0" w:color="auto"/>
        <w:bottom w:val="none" w:sz="0" w:space="0" w:color="auto"/>
        <w:right w:val="none" w:sz="0" w:space="0" w:color="auto"/>
      </w:divBdr>
    </w:div>
    <w:div w:id="575745355">
      <w:bodyDiv w:val="1"/>
      <w:marLeft w:val="0"/>
      <w:marRight w:val="0"/>
      <w:marTop w:val="0"/>
      <w:marBottom w:val="0"/>
      <w:divBdr>
        <w:top w:val="none" w:sz="0" w:space="0" w:color="auto"/>
        <w:left w:val="none" w:sz="0" w:space="0" w:color="auto"/>
        <w:bottom w:val="none" w:sz="0" w:space="0" w:color="auto"/>
        <w:right w:val="none" w:sz="0" w:space="0" w:color="auto"/>
      </w:divBdr>
    </w:div>
    <w:div w:id="585262383">
      <w:bodyDiv w:val="1"/>
      <w:marLeft w:val="0"/>
      <w:marRight w:val="0"/>
      <w:marTop w:val="0"/>
      <w:marBottom w:val="0"/>
      <w:divBdr>
        <w:top w:val="none" w:sz="0" w:space="0" w:color="auto"/>
        <w:left w:val="none" w:sz="0" w:space="0" w:color="auto"/>
        <w:bottom w:val="none" w:sz="0" w:space="0" w:color="auto"/>
        <w:right w:val="none" w:sz="0" w:space="0" w:color="auto"/>
      </w:divBdr>
    </w:div>
    <w:div w:id="700981506">
      <w:bodyDiv w:val="1"/>
      <w:marLeft w:val="0"/>
      <w:marRight w:val="0"/>
      <w:marTop w:val="0"/>
      <w:marBottom w:val="0"/>
      <w:divBdr>
        <w:top w:val="none" w:sz="0" w:space="0" w:color="auto"/>
        <w:left w:val="none" w:sz="0" w:space="0" w:color="auto"/>
        <w:bottom w:val="none" w:sz="0" w:space="0" w:color="auto"/>
        <w:right w:val="none" w:sz="0" w:space="0" w:color="auto"/>
      </w:divBdr>
    </w:div>
    <w:div w:id="717244555">
      <w:bodyDiv w:val="1"/>
      <w:marLeft w:val="0"/>
      <w:marRight w:val="0"/>
      <w:marTop w:val="0"/>
      <w:marBottom w:val="0"/>
      <w:divBdr>
        <w:top w:val="none" w:sz="0" w:space="0" w:color="auto"/>
        <w:left w:val="none" w:sz="0" w:space="0" w:color="auto"/>
        <w:bottom w:val="none" w:sz="0" w:space="0" w:color="auto"/>
        <w:right w:val="none" w:sz="0" w:space="0" w:color="auto"/>
      </w:divBdr>
    </w:div>
    <w:div w:id="785467115">
      <w:bodyDiv w:val="1"/>
      <w:marLeft w:val="0"/>
      <w:marRight w:val="0"/>
      <w:marTop w:val="0"/>
      <w:marBottom w:val="0"/>
      <w:divBdr>
        <w:top w:val="none" w:sz="0" w:space="0" w:color="auto"/>
        <w:left w:val="none" w:sz="0" w:space="0" w:color="auto"/>
        <w:bottom w:val="none" w:sz="0" w:space="0" w:color="auto"/>
        <w:right w:val="none" w:sz="0" w:space="0" w:color="auto"/>
      </w:divBdr>
    </w:div>
    <w:div w:id="876428072">
      <w:bodyDiv w:val="1"/>
      <w:marLeft w:val="0"/>
      <w:marRight w:val="0"/>
      <w:marTop w:val="0"/>
      <w:marBottom w:val="0"/>
      <w:divBdr>
        <w:top w:val="none" w:sz="0" w:space="0" w:color="auto"/>
        <w:left w:val="none" w:sz="0" w:space="0" w:color="auto"/>
        <w:bottom w:val="none" w:sz="0" w:space="0" w:color="auto"/>
        <w:right w:val="none" w:sz="0" w:space="0" w:color="auto"/>
      </w:divBdr>
    </w:div>
    <w:div w:id="890650717">
      <w:bodyDiv w:val="1"/>
      <w:marLeft w:val="0"/>
      <w:marRight w:val="0"/>
      <w:marTop w:val="0"/>
      <w:marBottom w:val="0"/>
      <w:divBdr>
        <w:top w:val="none" w:sz="0" w:space="0" w:color="auto"/>
        <w:left w:val="none" w:sz="0" w:space="0" w:color="auto"/>
        <w:bottom w:val="none" w:sz="0" w:space="0" w:color="auto"/>
        <w:right w:val="none" w:sz="0" w:space="0" w:color="auto"/>
      </w:divBdr>
    </w:div>
    <w:div w:id="1132333846">
      <w:bodyDiv w:val="1"/>
      <w:marLeft w:val="0"/>
      <w:marRight w:val="0"/>
      <w:marTop w:val="0"/>
      <w:marBottom w:val="0"/>
      <w:divBdr>
        <w:top w:val="none" w:sz="0" w:space="0" w:color="auto"/>
        <w:left w:val="none" w:sz="0" w:space="0" w:color="auto"/>
        <w:bottom w:val="none" w:sz="0" w:space="0" w:color="auto"/>
        <w:right w:val="none" w:sz="0" w:space="0" w:color="auto"/>
      </w:divBdr>
    </w:div>
    <w:div w:id="1138455512">
      <w:bodyDiv w:val="1"/>
      <w:marLeft w:val="0"/>
      <w:marRight w:val="0"/>
      <w:marTop w:val="0"/>
      <w:marBottom w:val="0"/>
      <w:divBdr>
        <w:top w:val="none" w:sz="0" w:space="0" w:color="auto"/>
        <w:left w:val="none" w:sz="0" w:space="0" w:color="auto"/>
        <w:bottom w:val="none" w:sz="0" w:space="0" w:color="auto"/>
        <w:right w:val="none" w:sz="0" w:space="0" w:color="auto"/>
      </w:divBdr>
    </w:div>
    <w:div w:id="1149057247">
      <w:bodyDiv w:val="1"/>
      <w:marLeft w:val="0"/>
      <w:marRight w:val="0"/>
      <w:marTop w:val="0"/>
      <w:marBottom w:val="0"/>
      <w:divBdr>
        <w:top w:val="none" w:sz="0" w:space="0" w:color="auto"/>
        <w:left w:val="none" w:sz="0" w:space="0" w:color="auto"/>
        <w:bottom w:val="none" w:sz="0" w:space="0" w:color="auto"/>
        <w:right w:val="none" w:sz="0" w:space="0" w:color="auto"/>
      </w:divBdr>
    </w:div>
    <w:div w:id="1225607434">
      <w:bodyDiv w:val="1"/>
      <w:marLeft w:val="0"/>
      <w:marRight w:val="0"/>
      <w:marTop w:val="0"/>
      <w:marBottom w:val="0"/>
      <w:divBdr>
        <w:top w:val="none" w:sz="0" w:space="0" w:color="auto"/>
        <w:left w:val="none" w:sz="0" w:space="0" w:color="auto"/>
        <w:bottom w:val="none" w:sz="0" w:space="0" w:color="auto"/>
        <w:right w:val="none" w:sz="0" w:space="0" w:color="auto"/>
      </w:divBdr>
    </w:div>
    <w:div w:id="1314064563">
      <w:bodyDiv w:val="1"/>
      <w:marLeft w:val="0"/>
      <w:marRight w:val="0"/>
      <w:marTop w:val="0"/>
      <w:marBottom w:val="0"/>
      <w:divBdr>
        <w:top w:val="none" w:sz="0" w:space="0" w:color="auto"/>
        <w:left w:val="none" w:sz="0" w:space="0" w:color="auto"/>
        <w:bottom w:val="none" w:sz="0" w:space="0" w:color="auto"/>
        <w:right w:val="none" w:sz="0" w:space="0" w:color="auto"/>
      </w:divBdr>
    </w:div>
    <w:div w:id="1422139768">
      <w:bodyDiv w:val="1"/>
      <w:marLeft w:val="0"/>
      <w:marRight w:val="0"/>
      <w:marTop w:val="0"/>
      <w:marBottom w:val="0"/>
      <w:divBdr>
        <w:top w:val="none" w:sz="0" w:space="0" w:color="auto"/>
        <w:left w:val="none" w:sz="0" w:space="0" w:color="auto"/>
        <w:bottom w:val="none" w:sz="0" w:space="0" w:color="auto"/>
        <w:right w:val="none" w:sz="0" w:space="0" w:color="auto"/>
      </w:divBdr>
    </w:div>
    <w:div w:id="1639841955">
      <w:bodyDiv w:val="1"/>
      <w:marLeft w:val="0"/>
      <w:marRight w:val="0"/>
      <w:marTop w:val="0"/>
      <w:marBottom w:val="0"/>
      <w:divBdr>
        <w:top w:val="none" w:sz="0" w:space="0" w:color="auto"/>
        <w:left w:val="none" w:sz="0" w:space="0" w:color="auto"/>
        <w:bottom w:val="none" w:sz="0" w:space="0" w:color="auto"/>
        <w:right w:val="none" w:sz="0" w:space="0" w:color="auto"/>
      </w:divBdr>
    </w:div>
    <w:div w:id="1952011259">
      <w:bodyDiv w:val="1"/>
      <w:marLeft w:val="0"/>
      <w:marRight w:val="0"/>
      <w:marTop w:val="0"/>
      <w:marBottom w:val="0"/>
      <w:divBdr>
        <w:top w:val="none" w:sz="0" w:space="0" w:color="auto"/>
        <w:left w:val="none" w:sz="0" w:space="0" w:color="auto"/>
        <w:bottom w:val="none" w:sz="0" w:space="0" w:color="auto"/>
        <w:right w:val="none" w:sz="0" w:space="0" w:color="auto"/>
      </w:divBdr>
    </w:div>
    <w:div w:id="2028826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9.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2.emf"/><Relationship Id="rId10" Type="http://schemas.openxmlformats.org/officeDocument/2006/relationships/chart" Target="charts/chart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chart" Target="charts/chart2.xml"/><Relationship Id="rId22" Type="http://schemas.openxmlformats.org/officeDocument/2006/relationships/image" Target="media/image11.e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US" sz="900"/>
              <a:t>Gráfico</a:t>
            </a:r>
            <a:r>
              <a:rPr lang="en-US" sz="900" baseline="0"/>
              <a:t> No.1</a:t>
            </a:r>
          </a:p>
          <a:p>
            <a:pPr>
              <a:defRPr sz="900"/>
            </a:pPr>
            <a:r>
              <a:rPr lang="en-US" sz="900"/>
              <a:t>Distribución  Presupuesto Egresos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s-CR"/>
        </a:p>
      </c:txPr>
    </c:title>
    <c:autoTitleDeleted val="0"/>
    <c:plotArea>
      <c:layout>
        <c:manualLayout>
          <c:layoutTarget val="inner"/>
          <c:xMode val="edge"/>
          <c:yMode val="edge"/>
          <c:x val="0.28359089063058807"/>
          <c:y val="0.2628184366472604"/>
          <c:w val="0.46361089390385085"/>
          <c:h val="0.56867851858461027"/>
        </c:manualLayout>
      </c:layout>
      <c:doughnut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26B-4688-89D9-AF641D975E04}"/>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26B-4688-89D9-AF641D975E04}"/>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826B-4688-89D9-AF641D975E04}"/>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826B-4688-89D9-AF641D975E04}"/>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826B-4688-89D9-AF641D975E04}"/>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826B-4688-89D9-AF641D975E04}"/>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826B-4688-89D9-AF641D975E04}"/>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826B-4688-89D9-AF641D975E04}"/>
              </c:ext>
            </c:extLst>
          </c:dPt>
          <c:dLbls>
            <c:dLbl>
              <c:idx val="0"/>
              <c:layout>
                <c:manualLayout>
                  <c:x val="0.1785989222478831"/>
                  <c:y val="-8.68744098205854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26B-4688-89D9-AF641D975E04}"/>
                </c:ext>
              </c:extLst>
            </c:dLbl>
            <c:dLbl>
              <c:idx val="1"/>
              <c:layout>
                <c:manualLayout>
                  <c:x val="-9.8537336412625118E-2"/>
                  <c:y val="0.15108593012275731"/>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26B-4688-89D9-AF641D975E04}"/>
                </c:ext>
              </c:extLst>
            </c:dLbl>
            <c:dLbl>
              <c:idx val="2"/>
              <c:layout>
                <c:manualLayout>
                  <c:x val="-0.1447267128560431"/>
                  <c:y val="0.12464589235127478"/>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26B-4688-89D9-AF641D975E04}"/>
                </c:ext>
              </c:extLst>
            </c:dLbl>
            <c:dLbl>
              <c:idx val="3"/>
              <c:layout>
                <c:manualLayout>
                  <c:x val="-0.19834663854085216"/>
                  <c:y val="6.421152030217172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26B-4688-89D9-AF641D975E04}"/>
                </c:ext>
              </c:extLst>
            </c:dLbl>
            <c:dLbl>
              <c:idx val="4"/>
              <c:layout>
                <c:manualLayout>
                  <c:x val="-0.20015396458814472"/>
                  <c:y val="-3.7771482530689331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26B-4688-89D9-AF641D975E04}"/>
                </c:ext>
              </c:extLst>
            </c:dLbl>
            <c:dLbl>
              <c:idx val="5"/>
              <c:layout>
                <c:manualLayout>
                  <c:x val="-0.18475750577367206"/>
                  <c:y val="-7.554296506137865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26B-4688-89D9-AF641D975E04}"/>
                </c:ext>
              </c:extLst>
            </c:dLbl>
            <c:dLbl>
              <c:idx val="6"/>
              <c:layout>
                <c:manualLayout>
                  <c:x val="-0.18434361986506884"/>
                  <c:y val="-0.16446803922880746"/>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26B-4688-89D9-AF641D975E04}"/>
                </c:ext>
              </c:extLst>
            </c:dLbl>
            <c:dLbl>
              <c:idx val="7"/>
              <c:layout>
                <c:manualLayout>
                  <c:x val="2.1555042340261739E-2"/>
                  <c:y val="-0.14838660748143029"/>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26B-4688-89D9-AF641D975E04}"/>
                </c:ext>
              </c:extLst>
            </c:dLbl>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ysClr val="windowText" lastClr="000000"/>
                    </a:solidFill>
                    <a:latin typeface="+mn-lt"/>
                    <a:ea typeface="+mn-ea"/>
                    <a:cs typeface="+mn-cs"/>
                  </a:defRPr>
                </a:pPr>
                <a:endParaRPr lang="es-CR"/>
              </a:p>
            </c:txPr>
            <c:showLegendKey val="0"/>
            <c:showVal val="1"/>
            <c:showCatName val="1"/>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Hoja1!$I$36:$I$43</c:f>
              <c:strCache>
                <c:ptCount val="8"/>
                <c:pt idx="0">
                  <c:v>0 REMUNERACIONES</c:v>
                </c:pt>
                <c:pt idx="1">
                  <c:v>1 SERVICIOS</c:v>
                </c:pt>
                <c:pt idx="2">
                  <c:v>2 MATERIALES Y SUMINISTROS</c:v>
                </c:pt>
                <c:pt idx="3">
                  <c:v>4 ACTIVOS FINANCIEROS</c:v>
                </c:pt>
                <c:pt idx="4">
                  <c:v>5 BIENES DURADEROS</c:v>
                </c:pt>
                <c:pt idx="5">
                  <c:v>6 TRANSFERENCIAS CORRIENTES</c:v>
                </c:pt>
                <c:pt idx="6">
                  <c:v>7 TRANSFERENCIAS DE CAPITAL</c:v>
                </c:pt>
                <c:pt idx="7">
                  <c:v>9. CUENTAS ESPECIALES</c:v>
                </c:pt>
              </c:strCache>
            </c:strRef>
          </c:cat>
          <c:val>
            <c:numRef>
              <c:f>Hoja1!$K$36:$K$43</c:f>
              <c:numCache>
                <c:formatCode>0%</c:formatCode>
                <c:ptCount val="8"/>
                <c:pt idx="0">
                  <c:v>0.51219719955975462</c:v>
                </c:pt>
                <c:pt idx="1">
                  <c:v>0.13768011618203288</c:v>
                </c:pt>
                <c:pt idx="2">
                  <c:v>6.6053779511964811E-2</c:v>
                </c:pt>
                <c:pt idx="3">
                  <c:v>2.3369973175782873E-2</c:v>
                </c:pt>
                <c:pt idx="4">
                  <c:v>0.12860902032563845</c:v>
                </c:pt>
                <c:pt idx="5">
                  <c:v>1.8996101229119405E-2</c:v>
                </c:pt>
                <c:pt idx="6">
                  <c:v>0.11186094014552478</c:v>
                </c:pt>
                <c:pt idx="7">
                  <c:v>1.232869870182173E-3</c:v>
                </c:pt>
              </c:numCache>
            </c:numRef>
          </c:val>
          <c:extLst>
            <c:ext xmlns:c16="http://schemas.microsoft.com/office/drawing/2014/chart" uri="{C3380CC4-5D6E-409C-BE32-E72D297353CC}">
              <c16:uniqueId val="{00000010-826B-4688-89D9-AF641D975E04}"/>
            </c:ext>
          </c:extLst>
        </c:ser>
        <c:dLbls>
          <c:showLegendKey val="0"/>
          <c:showVal val="1"/>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ysClr val="window" lastClr="FFFFFF"/>
    </a:solidFill>
    <a:ln w="9525" cap="flat" cmpd="sng" algn="ctr">
      <a:noFill/>
      <a:round/>
    </a:ln>
    <a:effectLst/>
  </c:spPr>
  <c:txPr>
    <a:bodyPr/>
    <a:lstStyle/>
    <a:p>
      <a:pPr>
        <a:defRPr/>
      </a:pPr>
      <a:endParaRPr lang="es-C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800" b="1" i="0" baseline="0">
                <a:effectLst/>
              </a:rPr>
              <a:t>Gráfico No.4</a:t>
            </a:r>
            <a:endParaRPr lang="es-CR" sz="800">
              <a:effectLst/>
            </a:endParaRPr>
          </a:p>
          <a:p>
            <a:pPr>
              <a:defRPr sz="1100"/>
            </a:pPr>
            <a:r>
              <a:rPr lang="en-US" sz="800" b="1" i="0" baseline="0">
                <a:effectLst/>
              </a:rPr>
              <a:t>Ejecución Presupuestaria de Ingresos 2019-2022</a:t>
            </a:r>
            <a:endParaRPr lang="es-CR" sz="800">
              <a:effectLst/>
            </a:endParaRPr>
          </a:p>
          <a:p>
            <a:pPr>
              <a:defRPr sz="1100"/>
            </a:pPr>
            <a:r>
              <a:rPr lang="en-US" sz="800" b="1" i="0" baseline="0">
                <a:effectLst/>
              </a:rPr>
              <a:t>al 30 de setiembre </a:t>
            </a:r>
            <a:endParaRPr lang="es-CR" sz="800">
              <a:effectLst/>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s-CR"/>
        </a:p>
      </c:txPr>
    </c:title>
    <c:autoTitleDeleted val="0"/>
    <c:plotArea>
      <c:layout/>
      <c:barChart>
        <c:barDir val="col"/>
        <c:grouping val="clustered"/>
        <c:varyColors val="0"/>
        <c:ser>
          <c:idx val="0"/>
          <c:order val="0"/>
          <c:tx>
            <c:strRef>
              <c:f>Ejecución!$R$83</c:f>
              <c:strCache>
                <c:ptCount val="1"/>
                <c:pt idx="0">
                  <c:v>2019</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Ejecución!$Q$84:$Q$85</c:f>
              <c:strCache>
                <c:ptCount val="2"/>
                <c:pt idx="0">
                  <c:v>INGRESOS CORRIENTES</c:v>
                </c:pt>
                <c:pt idx="1">
                  <c:v>INGRESOS DE CAPITAL</c:v>
                </c:pt>
              </c:strCache>
            </c:strRef>
          </c:cat>
          <c:val>
            <c:numRef>
              <c:f>Ejecución!$R$84:$R$85</c:f>
              <c:numCache>
                <c:formatCode>_-* #,##0_-;\-* #,##0_-;_-* "-"??_-;_-@_-</c:formatCode>
                <c:ptCount val="2"/>
                <c:pt idx="0">
                  <c:v>32848.965317563998</c:v>
                </c:pt>
                <c:pt idx="1">
                  <c:v>730.79489532999992</c:v>
                </c:pt>
              </c:numCache>
            </c:numRef>
          </c:val>
          <c:extLst>
            <c:ext xmlns:c16="http://schemas.microsoft.com/office/drawing/2014/chart" uri="{C3380CC4-5D6E-409C-BE32-E72D297353CC}">
              <c16:uniqueId val="{00000000-666E-4901-9077-D80407AD2506}"/>
            </c:ext>
          </c:extLst>
        </c:ser>
        <c:ser>
          <c:idx val="1"/>
          <c:order val="1"/>
          <c:tx>
            <c:strRef>
              <c:f>Ejecución!$S$83</c:f>
              <c:strCache>
                <c:ptCount val="1"/>
                <c:pt idx="0">
                  <c:v>2020</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Ejecución!$Q$84:$Q$85</c:f>
              <c:strCache>
                <c:ptCount val="2"/>
                <c:pt idx="0">
                  <c:v>INGRESOS CORRIENTES</c:v>
                </c:pt>
                <c:pt idx="1">
                  <c:v>INGRESOS DE CAPITAL</c:v>
                </c:pt>
              </c:strCache>
            </c:strRef>
          </c:cat>
          <c:val>
            <c:numRef>
              <c:f>Ejecución!$S$84:$S$85</c:f>
              <c:numCache>
                <c:formatCode>_-* #,##0_-;\-* #,##0_-;_-* "-"??_-;_-@_-</c:formatCode>
                <c:ptCount val="2"/>
                <c:pt idx="0">
                  <c:v>32282.981650355305</c:v>
                </c:pt>
                <c:pt idx="1">
                  <c:v>775.54878790999999</c:v>
                </c:pt>
              </c:numCache>
            </c:numRef>
          </c:val>
          <c:extLst>
            <c:ext xmlns:c16="http://schemas.microsoft.com/office/drawing/2014/chart" uri="{C3380CC4-5D6E-409C-BE32-E72D297353CC}">
              <c16:uniqueId val="{00000001-666E-4901-9077-D80407AD2506}"/>
            </c:ext>
          </c:extLst>
        </c:ser>
        <c:ser>
          <c:idx val="2"/>
          <c:order val="2"/>
          <c:tx>
            <c:strRef>
              <c:f>Ejecución!$T$83</c:f>
              <c:strCache>
                <c:ptCount val="1"/>
                <c:pt idx="0">
                  <c:v>2021</c:v>
                </c:pt>
              </c:strCache>
            </c:strRef>
          </c:tx>
          <c:spPr>
            <a:solidFill>
              <a:schemeClr val="accent3"/>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Ejecución!$Q$84:$Q$85</c:f>
              <c:strCache>
                <c:ptCount val="2"/>
                <c:pt idx="0">
                  <c:v>INGRESOS CORRIENTES</c:v>
                </c:pt>
                <c:pt idx="1">
                  <c:v>INGRESOS DE CAPITAL</c:v>
                </c:pt>
              </c:strCache>
            </c:strRef>
          </c:cat>
          <c:val>
            <c:numRef>
              <c:f>Ejecución!$T$84:$T$85</c:f>
              <c:numCache>
                <c:formatCode>_-* #,##0_-;\-* #,##0_-;_-* "-"??_-;_-@_-</c:formatCode>
                <c:ptCount val="2"/>
                <c:pt idx="0">
                  <c:v>32776.885872142302</c:v>
                </c:pt>
                <c:pt idx="1">
                  <c:v>735.37568365999994</c:v>
                </c:pt>
              </c:numCache>
            </c:numRef>
          </c:val>
          <c:extLst>
            <c:ext xmlns:c16="http://schemas.microsoft.com/office/drawing/2014/chart" uri="{C3380CC4-5D6E-409C-BE32-E72D297353CC}">
              <c16:uniqueId val="{00000002-666E-4901-9077-D80407AD2506}"/>
            </c:ext>
          </c:extLst>
        </c:ser>
        <c:ser>
          <c:idx val="3"/>
          <c:order val="3"/>
          <c:tx>
            <c:strRef>
              <c:f>Ejecución!$U$83</c:f>
              <c:strCache>
                <c:ptCount val="1"/>
                <c:pt idx="0">
                  <c:v>2022</c:v>
                </c:pt>
              </c:strCache>
            </c:strRef>
          </c:tx>
          <c:spPr>
            <a:solidFill>
              <a:schemeClr val="accent4"/>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Ejecución!$Q$84:$Q$85</c:f>
              <c:strCache>
                <c:ptCount val="2"/>
                <c:pt idx="0">
                  <c:v>INGRESOS CORRIENTES</c:v>
                </c:pt>
                <c:pt idx="1">
                  <c:v>INGRESOS DE CAPITAL</c:v>
                </c:pt>
              </c:strCache>
            </c:strRef>
          </c:cat>
          <c:val>
            <c:numRef>
              <c:f>Ejecución!$U$84:$U$85</c:f>
              <c:numCache>
                <c:formatCode>_-* #,##0_-;\-* #,##0_-;_-* "-"??_-;_-@_-</c:formatCode>
                <c:ptCount val="2"/>
                <c:pt idx="0">
                  <c:v>35651.308368335704</c:v>
                </c:pt>
                <c:pt idx="1">
                  <c:v>757.91339645000005</c:v>
                </c:pt>
              </c:numCache>
            </c:numRef>
          </c:val>
          <c:extLst>
            <c:ext xmlns:c16="http://schemas.microsoft.com/office/drawing/2014/chart" uri="{C3380CC4-5D6E-409C-BE32-E72D297353CC}">
              <c16:uniqueId val="{00000003-666E-4901-9077-D80407AD2506}"/>
            </c:ext>
          </c:extLst>
        </c:ser>
        <c:dLbls>
          <c:dLblPos val="ctr"/>
          <c:showLegendKey val="0"/>
          <c:showVal val="1"/>
          <c:showCatName val="0"/>
          <c:showSerName val="0"/>
          <c:showPercent val="0"/>
          <c:showBubbleSize val="0"/>
        </c:dLbls>
        <c:gapWidth val="219"/>
        <c:overlap val="-27"/>
        <c:axId val="652315448"/>
        <c:axId val="652313808"/>
      </c:barChart>
      <c:catAx>
        <c:axId val="652315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R"/>
          </a:p>
        </c:txPr>
        <c:crossAx val="652313808"/>
        <c:crosses val="autoZero"/>
        <c:auto val="1"/>
        <c:lblAlgn val="ctr"/>
        <c:lblOffset val="100"/>
        <c:noMultiLvlLbl val="0"/>
      </c:catAx>
      <c:valAx>
        <c:axId val="652313808"/>
        <c:scaling>
          <c:orientation val="minMax"/>
        </c:scaling>
        <c:delete val="1"/>
        <c:axPos val="l"/>
        <c:numFmt formatCode="_-* #,##0_-;\-* #,##0_-;_-* &quot;-&quot;??_-;_-@_-" sourceLinked="1"/>
        <c:majorTickMark val="none"/>
        <c:minorTickMark val="none"/>
        <c:tickLblPos val="nextTo"/>
        <c:crossAx val="652315448"/>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showDLblsOverMax val="0"/>
  </c:chart>
  <c:spPr>
    <a:solidFill>
      <a:schemeClr val="bg1"/>
    </a:solidFill>
    <a:ln w="9525" cap="flat" cmpd="sng" algn="ctr">
      <a:noFill/>
      <a:round/>
    </a:ln>
    <a:effectLst/>
  </c:spPr>
  <c:txPr>
    <a:bodyPr/>
    <a:lstStyle/>
    <a:p>
      <a:pPr>
        <a:defRPr/>
      </a:pPr>
      <a:endParaRPr lang="es-C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t>Gráfico</a:t>
            </a:r>
            <a:r>
              <a:rPr lang="en-US" sz="1100" b="1" baseline="0"/>
              <a:t> No.6</a:t>
            </a:r>
          </a:p>
          <a:p>
            <a:pPr>
              <a:defRPr/>
            </a:pPr>
            <a:r>
              <a:rPr lang="en-US" sz="1100" b="1" baseline="0"/>
              <a:t>Ejecución Presupuestaria de Egresos 2019-2022</a:t>
            </a:r>
          </a:p>
          <a:p>
            <a:pPr>
              <a:defRPr/>
            </a:pPr>
            <a:r>
              <a:rPr lang="en-US" sz="1100" b="1" baseline="0"/>
              <a:t>Al 30 setiembre 2022</a:t>
            </a:r>
            <a:endParaRPr lang="en-US" sz="1100" b="1"/>
          </a:p>
        </c:rich>
      </c:tx>
      <c:layout>
        <c:manualLayout>
          <c:xMode val="edge"/>
          <c:yMode val="edge"/>
          <c:x val="0.35210476605070173"/>
          <c:y val="4.130808203647760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R"/>
        </a:p>
      </c:txPr>
    </c:title>
    <c:autoTitleDeleted val="0"/>
    <c:plotArea>
      <c:layout/>
      <c:barChart>
        <c:barDir val="col"/>
        <c:grouping val="clustered"/>
        <c:varyColors val="0"/>
        <c:ser>
          <c:idx val="0"/>
          <c:order val="0"/>
          <c:tx>
            <c:strRef>
              <c:f>Partida!$S$61</c:f>
              <c:strCache>
                <c:ptCount val="1"/>
                <c:pt idx="0">
                  <c:v>2019</c:v>
                </c:pt>
              </c:strCache>
            </c:strRef>
          </c:tx>
          <c:spPr>
            <a:solidFill>
              <a:schemeClr val="accent1"/>
            </a:solidFill>
            <a:ln>
              <a:noFill/>
            </a:ln>
            <a:effectLst/>
          </c:spPr>
          <c:invertIfNegative val="0"/>
          <c:cat>
            <c:strRef>
              <c:f>Partida!$R$62:$R$69</c:f>
              <c:strCache>
                <c:ptCount val="8"/>
                <c:pt idx="0">
                  <c:v>Remuneraciones</c:v>
                </c:pt>
                <c:pt idx="1">
                  <c:v>Servicios</c:v>
                </c:pt>
                <c:pt idx="2">
                  <c:v>Materiales y Suministros</c:v>
                </c:pt>
                <c:pt idx="3">
                  <c:v>Intereses y Comisiones </c:v>
                </c:pt>
                <c:pt idx="4">
                  <c:v>Activos Financieros</c:v>
                </c:pt>
                <c:pt idx="5">
                  <c:v>Bienes Duraderos</c:v>
                </c:pt>
                <c:pt idx="6">
                  <c:v>Transferencias Corrientes</c:v>
                </c:pt>
                <c:pt idx="7">
                  <c:v>Transferencias de Capital</c:v>
                </c:pt>
              </c:strCache>
            </c:strRef>
          </c:cat>
          <c:val>
            <c:numRef>
              <c:f>Partida!$S$62:$S$69</c:f>
              <c:numCache>
                <c:formatCode>_-* #\ ##0_-;\-* #\ ##0_-;_-* "-"??_-;_-@_-</c:formatCode>
                <c:ptCount val="8"/>
                <c:pt idx="0">
                  <c:v>15341.956706906647</c:v>
                </c:pt>
                <c:pt idx="1">
                  <c:v>3992.8436563299992</c:v>
                </c:pt>
                <c:pt idx="2">
                  <c:v>1730.9361353600004</c:v>
                </c:pt>
                <c:pt idx="3">
                  <c:v>0</c:v>
                </c:pt>
                <c:pt idx="4">
                  <c:v>800.89167999999995</c:v>
                </c:pt>
                <c:pt idx="5">
                  <c:v>746.42539495999995</c:v>
                </c:pt>
                <c:pt idx="6">
                  <c:v>330.48621605796404</c:v>
                </c:pt>
                <c:pt idx="7">
                  <c:v>3810.9199531300001</c:v>
                </c:pt>
              </c:numCache>
            </c:numRef>
          </c:val>
          <c:extLst>
            <c:ext xmlns:c16="http://schemas.microsoft.com/office/drawing/2014/chart" uri="{C3380CC4-5D6E-409C-BE32-E72D297353CC}">
              <c16:uniqueId val="{00000000-E461-4E9A-992B-F78BE4A94E9C}"/>
            </c:ext>
          </c:extLst>
        </c:ser>
        <c:ser>
          <c:idx val="1"/>
          <c:order val="1"/>
          <c:tx>
            <c:strRef>
              <c:f>Partida!$T$61</c:f>
              <c:strCache>
                <c:ptCount val="1"/>
                <c:pt idx="0">
                  <c:v>2020</c:v>
                </c:pt>
              </c:strCache>
            </c:strRef>
          </c:tx>
          <c:spPr>
            <a:solidFill>
              <a:schemeClr val="accent2"/>
            </a:solidFill>
            <a:ln>
              <a:noFill/>
            </a:ln>
            <a:effectLst/>
          </c:spPr>
          <c:invertIfNegative val="0"/>
          <c:cat>
            <c:strRef>
              <c:f>Partida!$R$62:$R$69</c:f>
              <c:strCache>
                <c:ptCount val="8"/>
                <c:pt idx="0">
                  <c:v>Remuneraciones</c:v>
                </c:pt>
                <c:pt idx="1">
                  <c:v>Servicios</c:v>
                </c:pt>
                <c:pt idx="2">
                  <c:v>Materiales y Suministros</c:v>
                </c:pt>
                <c:pt idx="3">
                  <c:v>Intereses y Comisiones </c:v>
                </c:pt>
                <c:pt idx="4">
                  <c:v>Activos Financieros</c:v>
                </c:pt>
                <c:pt idx="5">
                  <c:v>Bienes Duraderos</c:v>
                </c:pt>
                <c:pt idx="6">
                  <c:v>Transferencias Corrientes</c:v>
                </c:pt>
                <c:pt idx="7">
                  <c:v>Transferencias de Capital</c:v>
                </c:pt>
              </c:strCache>
            </c:strRef>
          </c:cat>
          <c:val>
            <c:numRef>
              <c:f>Partida!$T$62:$T$69</c:f>
              <c:numCache>
                <c:formatCode>_-* #\ ##0_-;\-* #\ ##0_-;_-* "-"??_-;_-@_-</c:formatCode>
                <c:ptCount val="8"/>
                <c:pt idx="0">
                  <c:v>15822.071269476304</c:v>
                </c:pt>
                <c:pt idx="1">
                  <c:v>3658.3722386699992</c:v>
                </c:pt>
                <c:pt idx="2">
                  <c:v>2005.5723404499997</c:v>
                </c:pt>
                <c:pt idx="3">
                  <c:v>0</c:v>
                </c:pt>
                <c:pt idx="4">
                  <c:v>768.91</c:v>
                </c:pt>
                <c:pt idx="5">
                  <c:v>1579.64667667</c:v>
                </c:pt>
                <c:pt idx="6">
                  <c:v>387.61184295368201</c:v>
                </c:pt>
                <c:pt idx="7">
                  <c:v>3849.7524005199998</c:v>
                </c:pt>
              </c:numCache>
            </c:numRef>
          </c:val>
          <c:extLst>
            <c:ext xmlns:c16="http://schemas.microsoft.com/office/drawing/2014/chart" uri="{C3380CC4-5D6E-409C-BE32-E72D297353CC}">
              <c16:uniqueId val="{00000001-E461-4E9A-992B-F78BE4A94E9C}"/>
            </c:ext>
          </c:extLst>
        </c:ser>
        <c:ser>
          <c:idx val="2"/>
          <c:order val="2"/>
          <c:tx>
            <c:strRef>
              <c:f>Partida!$U$61</c:f>
              <c:strCache>
                <c:ptCount val="1"/>
                <c:pt idx="0">
                  <c:v>2021</c:v>
                </c:pt>
              </c:strCache>
            </c:strRef>
          </c:tx>
          <c:spPr>
            <a:solidFill>
              <a:schemeClr val="accent3"/>
            </a:solidFill>
            <a:ln>
              <a:noFill/>
            </a:ln>
            <a:effectLst/>
          </c:spPr>
          <c:invertIfNegative val="0"/>
          <c:cat>
            <c:strRef>
              <c:f>Partida!$R$62:$R$69</c:f>
              <c:strCache>
                <c:ptCount val="8"/>
                <c:pt idx="0">
                  <c:v>Remuneraciones</c:v>
                </c:pt>
                <c:pt idx="1">
                  <c:v>Servicios</c:v>
                </c:pt>
                <c:pt idx="2">
                  <c:v>Materiales y Suministros</c:v>
                </c:pt>
                <c:pt idx="3">
                  <c:v>Intereses y Comisiones </c:v>
                </c:pt>
                <c:pt idx="4">
                  <c:v>Activos Financieros</c:v>
                </c:pt>
                <c:pt idx="5">
                  <c:v>Bienes Duraderos</c:v>
                </c:pt>
                <c:pt idx="6">
                  <c:v>Transferencias Corrientes</c:v>
                </c:pt>
                <c:pt idx="7">
                  <c:v>Transferencias de Capital</c:v>
                </c:pt>
              </c:strCache>
            </c:strRef>
          </c:cat>
          <c:val>
            <c:numRef>
              <c:f>Partida!$U$62:$U$69</c:f>
              <c:numCache>
                <c:formatCode>_-* #\ ##0_-;\-* #\ ##0_-;_-* "-"??_-;_-@_-</c:formatCode>
                <c:ptCount val="8"/>
                <c:pt idx="0">
                  <c:v>16047.435719411607</c:v>
                </c:pt>
                <c:pt idx="1">
                  <c:v>4188.1239297199991</c:v>
                </c:pt>
                <c:pt idx="2">
                  <c:v>2363.1852178300005</c:v>
                </c:pt>
                <c:pt idx="3">
                  <c:v>0</c:v>
                </c:pt>
                <c:pt idx="4">
                  <c:v>759.39020000000005</c:v>
                </c:pt>
                <c:pt idx="5">
                  <c:v>2191.1991967000004</c:v>
                </c:pt>
                <c:pt idx="6">
                  <c:v>562.14164608836904</c:v>
                </c:pt>
                <c:pt idx="7">
                  <c:v>3810.0194037699998</c:v>
                </c:pt>
              </c:numCache>
            </c:numRef>
          </c:val>
          <c:extLst>
            <c:ext xmlns:c16="http://schemas.microsoft.com/office/drawing/2014/chart" uri="{C3380CC4-5D6E-409C-BE32-E72D297353CC}">
              <c16:uniqueId val="{00000002-E461-4E9A-992B-F78BE4A94E9C}"/>
            </c:ext>
          </c:extLst>
        </c:ser>
        <c:ser>
          <c:idx val="3"/>
          <c:order val="3"/>
          <c:tx>
            <c:strRef>
              <c:f>Partida!$V$61</c:f>
              <c:strCache>
                <c:ptCount val="1"/>
                <c:pt idx="0">
                  <c:v>2022</c:v>
                </c:pt>
              </c:strCache>
            </c:strRef>
          </c:tx>
          <c:spPr>
            <a:solidFill>
              <a:schemeClr val="accent4"/>
            </a:solidFill>
            <a:ln>
              <a:noFill/>
            </a:ln>
            <a:effectLst/>
          </c:spPr>
          <c:invertIfNegative val="0"/>
          <c:cat>
            <c:strRef>
              <c:f>Partida!$R$62:$R$69</c:f>
              <c:strCache>
                <c:ptCount val="8"/>
                <c:pt idx="0">
                  <c:v>Remuneraciones</c:v>
                </c:pt>
                <c:pt idx="1">
                  <c:v>Servicios</c:v>
                </c:pt>
                <c:pt idx="2">
                  <c:v>Materiales y Suministros</c:v>
                </c:pt>
                <c:pt idx="3">
                  <c:v>Intereses y Comisiones </c:v>
                </c:pt>
                <c:pt idx="4">
                  <c:v>Activos Financieros</c:v>
                </c:pt>
                <c:pt idx="5">
                  <c:v>Bienes Duraderos</c:v>
                </c:pt>
                <c:pt idx="6">
                  <c:v>Transferencias Corrientes</c:v>
                </c:pt>
                <c:pt idx="7">
                  <c:v>Transferencias de Capital</c:v>
                </c:pt>
              </c:strCache>
            </c:strRef>
          </c:cat>
          <c:val>
            <c:numRef>
              <c:f>Partida!$V$62:$V$69</c:f>
              <c:numCache>
                <c:formatCode>_-* #\ ##0_-;\-* #\ ##0_-;_-* "-"??_-;_-@_-</c:formatCode>
                <c:ptCount val="8"/>
                <c:pt idx="0">
                  <c:v>16107.064713446951</c:v>
                </c:pt>
                <c:pt idx="1">
                  <c:v>4201.0983837960703</c:v>
                </c:pt>
                <c:pt idx="2">
                  <c:v>2240.536097865624</c:v>
                </c:pt>
                <c:pt idx="3">
                  <c:v>11.72039326</c:v>
                </c:pt>
                <c:pt idx="4">
                  <c:v>791.88250000000005</c:v>
                </c:pt>
                <c:pt idx="5">
                  <c:v>1850.0871730672002</c:v>
                </c:pt>
                <c:pt idx="6">
                  <c:v>495.34156700303794</c:v>
                </c:pt>
                <c:pt idx="7">
                  <c:v>3750.0000000300001</c:v>
                </c:pt>
              </c:numCache>
            </c:numRef>
          </c:val>
          <c:extLst>
            <c:ext xmlns:c16="http://schemas.microsoft.com/office/drawing/2014/chart" uri="{C3380CC4-5D6E-409C-BE32-E72D297353CC}">
              <c16:uniqueId val="{00000003-E461-4E9A-992B-F78BE4A94E9C}"/>
            </c:ext>
          </c:extLst>
        </c:ser>
        <c:dLbls>
          <c:showLegendKey val="0"/>
          <c:showVal val="0"/>
          <c:showCatName val="0"/>
          <c:showSerName val="0"/>
          <c:showPercent val="0"/>
          <c:showBubbleSize val="0"/>
        </c:dLbls>
        <c:gapWidth val="219"/>
        <c:overlap val="-27"/>
        <c:axId val="745164608"/>
        <c:axId val="745163296"/>
      </c:barChart>
      <c:catAx>
        <c:axId val="745164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745163296"/>
        <c:crosses val="autoZero"/>
        <c:auto val="1"/>
        <c:lblAlgn val="ctr"/>
        <c:lblOffset val="100"/>
        <c:noMultiLvlLbl val="0"/>
      </c:catAx>
      <c:valAx>
        <c:axId val="745163296"/>
        <c:scaling>
          <c:orientation val="minMax"/>
        </c:scaling>
        <c:delete val="0"/>
        <c:axPos val="l"/>
        <c:majorGridlines>
          <c:spPr>
            <a:ln w="9525" cap="flat" cmpd="sng" algn="ctr">
              <a:solidFill>
                <a:schemeClr val="tx1">
                  <a:lumMod val="15000"/>
                  <a:lumOff val="85000"/>
                </a:schemeClr>
              </a:solidFill>
              <a:round/>
            </a:ln>
            <a:effectLst/>
          </c:spPr>
        </c:majorGridlines>
        <c:numFmt formatCode="_-* #\ ##0_-;\-* #\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R"/>
          </a:p>
        </c:txPr>
        <c:crossAx val="74516460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R"/>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s-C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7C9C00-9DDB-442A-9C95-D2E1FCC8B1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17</Pages>
  <Words>1791</Words>
  <Characters>9854</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Salazar Larios</dc:creator>
  <cp:keywords/>
  <dc:description/>
  <cp:lastModifiedBy>Stefhanie Porras Vega</cp:lastModifiedBy>
  <cp:revision>30</cp:revision>
  <dcterms:created xsi:type="dcterms:W3CDTF">2022-10-04T13:57:00Z</dcterms:created>
  <dcterms:modified xsi:type="dcterms:W3CDTF">2022-10-04T19:17:00Z</dcterms:modified>
</cp:coreProperties>
</file>