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94" w:rsidRPr="00B2432D" w:rsidRDefault="00C00794" w:rsidP="00C00794">
      <w:pPr>
        <w:spacing w:after="0"/>
        <w:jc w:val="center"/>
        <w:rPr>
          <w:rFonts w:ascii="Arial" w:hAnsi="Arial" w:cs="Arial"/>
          <w:b/>
          <w:color w:val="17365D" w:themeColor="text2" w:themeShade="BF"/>
          <w:sz w:val="24"/>
          <w:szCs w:val="23"/>
        </w:rPr>
      </w:pPr>
      <w:bookmarkStart w:id="0" w:name="_GoBack"/>
      <w:bookmarkEnd w:id="0"/>
      <w:r w:rsidRPr="00B2432D">
        <w:rPr>
          <w:rFonts w:ascii="Arial" w:hAnsi="Arial" w:cs="Arial"/>
          <w:b/>
          <w:color w:val="17365D" w:themeColor="text2" w:themeShade="BF"/>
          <w:sz w:val="24"/>
          <w:szCs w:val="23"/>
        </w:rPr>
        <w:t>Servicios Prevención e Investigación de Incendios</w:t>
      </w:r>
    </w:p>
    <w:p w:rsidR="00C00794" w:rsidRPr="00B2432D" w:rsidRDefault="00C00794" w:rsidP="00C00794">
      <w:pPr>
        <w:pStyle w:val="Prrafodelista"/>
        <w:spacing w:after="0"/>
        <w:jc w:val="both"/>
        <w:rPr>
          <w:rFonts w:ascii="Arial" w:hAnsi="Arial" w:cs="Arial"/>
          <w:color w:val="17365D" w:themeColor="text2" w:themeShade="BF"/>
          <w:sz w:val="24"/>
          <w:szCs w:val="23"/>
        </w:rPr>
      </w:pPr>
    </w:p>
    <w:p w:rsidR="00C00794" w:rsidRPr="00C00794" w:rsidRDefault="00C00794" w:rsidP="00C00794">
      <w:pPr>
        <w:pStyle w:val="Prrafodelista"/>
        <w:spacing w:after="0"/>
        <w:jc w:val="both"/>
        <w:rPr>
          <w:rFonts w:ascii="Arial" w:hAnsi="Arial" w:cs="Arial"/>
          <w:sz w:val="23"/>
          <w:szCs w:val="23"/>
        </w:rPr>
      </w:pPr>
    </w:p>
    <w:p w:rsidR="00C00794" w:rsidRPr="00C00794" w:rsidRDefault="00C00794" w:rsidP="00C00794">
      <w:pPr>
        <w:spacing w:after="0"/>
        <w:jc w:val="both"/>
        <w:rPr>
          <w:rFonts w:ascii="Arial" w:hAnsi="Arial" w:cs="Arial"/>
          <w:b/>
          <w:sz w:val="23"/>
          <w:szCs w:val="23"/>
        </w:rPr>
      </w:pPr>
      <w:r w:rsidRPr="00C00794">
        <w:rPr>
          <w:rFonts w:ascii="Arial" w:hAnsi="Arial" w:cs="Arial"/>
          <w:b/>
          <w:sz w:val="23"/>
          <w:szCs w:val="23"/>
        </w:rPr>
        <w:t>1.</w:t>
      </w:r>
      <w:r w:rsidRPr="00C00794">
        <w:rPr>
          <w:rFonts w:ascii="Arial" w:hAnsi="Arial" w:cs="Arial"/>
          <w:b/>
          <w:sz w:val="23"/>
          <w:szCs w:val="23"/>
        </w:rPr>
        <w:tab/>
      </w:r>
      <w:r w:rsidRPr="00B2432D">
        <w:rPr>
          <w:rFonts w:ascii="Arial" w:hAnsi="Arial" w:cs="Arial"/>
          <w:b/>
          <w:color w:val="17365D" w:themeColor="text2" w:themeShade="BF"/>
          <w:sz w:val="24"/>
          <w:szCs w:val="23"/>
        </w:rPr>
        <w:t>Evaluación de Seguridad Humana y Riesgo de Incendio.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Los puntos a revisar en la Evaluación de Riesgo están enfocados en seguridad humana y a la protección contra incendios. A continuación se indican aspectos de forma general en que consiste el servicio: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xml:space="preserve"> -    [1]</w:t>
      </w:r>
      <w:r>
        <w:rPr>
          <w:rFonts w:ascii="Arial" w:hAnsi="Arial" w:cs="Arial"/>
          <w:sz w:val="23"/>
          <w:szCs w:val="23"/>
        </w:rPr>
        <w:t xml:space="preserve"> </w:t>
      </w:r>
      <w:r w:rsidRPr="00C00794">
        <w:rPr>
          <w:rFonts w:ascii="Arial" w:hAnsi="Arial" w:cs="Arial"/>
          <w:sz w:val="23"/>
          <w:szCs w:val="23"/>
        </w:rPr>
        <w:t>Requerimiento normativo de sistemas fijos  y sistemas de supresión para protección contra incendio.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1Requerimiento normativo de sistemas de detección y alarmas de incendio.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Sistemas eléctricos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Fumado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Manipulación y almacenamiento de líquidos inflamables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Productos químicos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Trabajos de corte, soldadura u otros trabajos en caliente</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Manipulación, distribución y almacenamiento de gas licuado de petróleo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Manipulación y almacenamiento de cilindros de oxígeno, acetileno u otros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Orden y limpieza</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Equipos portátiles de extinción de incendios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Medios de egreso</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Señalización de emergencia</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Iluminación de emergencia</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Compartimentación</w:t>
      </w:r>
    </w:p>
    <w:p w:rsidR="00C00794" w:rsidRDefault="00C00794" w:rsidP="00C00794">
      <w:pPr>
        <w:spacing w:after="0"/>
        <w:jc w:val="both"/>
        <w:rPr>
          <w:rFonts w:ascii="Arial" w:hAnsi="Arial" w:cs="Arial"/>
          <w:sz w:val="23"/>
          <w:szCs w:val="23"/>
        </w:rPr>
      </w:pPr>
      <w:r w:rsidRPr="00C00794">
        <w:rPr>
          <w:rFonts w:ascii="Arial" w:hAnsi="Arial" w:cs="Arial"/>
          <w:sz w:val="23"/>
          <w:szCs w:val="23"/>
        </w:rPr>
        <w:t xml:space="preserve"> </w:t>
      </w:r>
    </w:p>
    <w:p w:rsidR="00C00794" w:rsidRPr="00B2432D" w:rsidRDefault="00C00794" w:rsidP="00C00794">
      <w:pPr>
        <w:spacing w:after="0"/>
        <w:jc w:val="both"/>
        <w:rPr>
          <w:rFonts w:ascii="Arial" w:hAnsi="Arial" w:cs="Arial"/>
          <w:b/>
          <w:color w:val="17365D" w:themeColor="text2" w:themeShade="BF"/>
          <w:sz w:val="24"/>
          <w:szCs w:val="23"/>
        </w:rPr>
      </w:pPr>
    </w:p>
    <w:p w:rsidR="00C00794" w:rsidRPr="00B2432D" w:rsidRDefault="00C00794" w:rsidP="00C00794">
      <w:pPr>
        <w:spacing w:after="0"/>
        <w:jc w:val="both"/>
        <w:rPr>
          <w:rFonts w:ascii="Arial" w:hAnsi="Arial" w:cs="Arial"/>
          <w:b/>
          <w:color w:val="17365D" w:themeColor="text2" w:themeShade="BF"/>
          <w:sz w:val="24"/>
          <w:szCs w:val="23"/>
        </w:rPr>
      </w:pPr>
      <w:r w:rsidRPr="00B2432D">
        <w:rPr>
          <w:rFonts w:ascii="Arial" w:hAnsi="Arial" w:cs="Arial"/>
          <w:b/>
          <w:color w:val="17365D" w:themeColor="text2" w:themeShade="BF"/>
          <w:sz w:val="24"/>
          <w:szCs w:val="23"/>
        </w:rPr>
        <w:t>2.</w:t>
      </w:r>
      <w:r w:rsidRPr="00B2432D">
        <w:rPr>
          <w:rFonts w:ascii="Arial" w:hAnsi="Arial" w:cs="Arial"/>
          <w:b/>
          <w:color w:val="17365D" w:themeColor="text2" w:themeShade="BF"/>
          <w:sz w:val="24"/>
          <w:szCs w:val="23"/>
        </w:rPr>
        <w:tab/>
        <w:t>Inspección y Pruebas de Sistemas Fijos Contra Incendios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 xml:space="preserve">En el servicio de inspección y prueba del sistema fijo contra incendio, se </w:t>
      </w:r>
      <w:r w:rsidR="0017487F">
        <w:rPr>
          <w:rFonts w:ascii="Arial" w:hAnsi="Arial" w:cs="Arial"/>
          <w:sz w:val="23"/>
          <w:szCs w:val="23"/>
        </w:rPr>
        <w:t>incluyen los siguientes puntos: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Punto crítico en el sitio más distante de la red</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 xml:space="preserve">Curva de la bomba contra incendio </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Inyección al sistema mediante unidad de bomberos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Succión directa del tanque mediante unidad de bomberos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 xml:space="preserve">Transferencia (en caso de motor eléctrico) </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 xml:space="preserve">Medición de Hidrantes en sitios críticos </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Censado del sistema en el panel de detección y alarma</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Inspección del diagrama del sistema de bombeo y sus pruebas de arranque</w:t>
      </w:r>
    </w:p>
    <w:p w:rsidR="00C00794" w:rsidRDefault="00C00794" w:rsidP="00C00794">
      <w:pPr>
        <w:spacing w:after="0"/>
        <w:jc w:val="both"/>
        <w:rPr>
          <w:rFonts w:ascii="Arial" w:hAnsi="Arial" w:cs="Arial"/>
          <w:sz w:val="23"/>
          <w:szCs w:val="23"/>
        </w:rPr>
      </w:pPr>
      <w:r w:rsidRPr="00C00794">
        <w:rPr>
          <w:rFonts w:ascii="Arial" w:hAnsi="Arial" w:cs="Arial"/>
          <w:sz w:val="23"/>
          <w:szCs w:val="23"/>
        </w:rPr>
        <w:t>•</w:t>
      </w:r>
      <w:r w:rsidRPr="00C00794">
        <w:rPr>
          <w:rFonts w:ascii="Arial" w:hAnsi="Arial" w:cs="Arial"/>
          <w:sz w:val="23"/>
          <w:szCs w:val="23"/>
        </w:rPr>
        <w:tab/>
        <w:t>Prueba de válvulas controladoras de piso (</w:t>
      </w:r>
      <w:proofErr w:type="spellStart"/>
      <w:r w:rsidRPr="00C00794">
        <w:rPr>
          <w:rFonts w:ascii="Arial" w:hAnsi="Arial" w:cs="Arial"/>
          <w:sz w:val="23"/>
          <w:szCs w:val="23"/>
        </w:rPr>
        <w:t>riser</w:t>
      </w:r>
      <w:proofErr w:type="spellEnd"/>
      <w:r w:rsidRPr="00C00794">
        <w:rPr>
          <w:rFonts w:ascii="Arial" w:hAnsi="Arial" w:cs="Arial"/>
          <w:sz w:val="23"/>
          <w:szCs w:val="23"/>
        </w:rPr>
        <w:t>)</w:t>
      </w:r>
    </w:p>
    <w:p w:rsidR="00C00794" w:rsidRDefault="00C00794" w:rsidP="00C00794">
      <w:pPr>
        <w:spacing w:after="0"/>
        <w:jc w:val="both"/>
        <w:rPr>
          <w:rFonts w:ascii="Arial" w:hAnsi="Arial" w:cs="Arial"/>
          <w:sz w:val="23"/>
          <w:szCs w:val="23"/>
        </w:rPr>
      </w:pPr>
    </w:p>
    <w:p w:rsidR="00C00794" w:rsidRDefault="00C00794" w:rsidP="00C00794">
      <w:pPr>
        <w:spacing w:after="0"/>
        <w:jc w:val="both"/>
        <w:rPr>
          <w:rFonts w:ascii="Arial" w:hAnsi="Arial" w:cs="Arial"/>
          <w:sz w:val="23"/>
          <w:szCs w:val="23"/>
        </w:rPr>
      </w:pPr>
    </w:p>
    <w:p w:rsidR="0017487F" w:rsidRDefault="0017487F" w:rsidP="00C00794">
      <w:pPr>
        <w:spacing w:after="0"/>
        <w:jc w:val="both"/>
        <w:rPr>
          <w:rFonts w:ascii="Arial" w:hAnsi="Arial" w:cs="Arial"/>
          <w:sz w:val="23"/>
          <w:szCs w:val="23"/>
        </w:rPr>
      </w:pPr>
    </w:p>
    <w:p w:rsidR="0017487F" w:rsidRDefault="0017487F" w:rsidP="00C00794">
      <w:pPr>
        <w:spacing w:after="0"/>
        <w:jc w:val="both"/>
        <w:rPr>
          <w:rFonts w:ascii="Arial" w:hAnsi="Arial" w:cs="Arial"/>
          <w:sz w:val="23"/>
          <w:szCs w:val="23"/>
        </w:rPr>
      </w:pPr>
    </w:p>
    <w:p w:rsidR="0017487F" w:rsidRPr="00C00794" w:rsidRDefault="0017487F" w:rsidP="00C00794">
      <w:pPr>
        <w:spacing w:after="0"/>
        <w:jc w:val="both"/>
        <w:rPr>
          <w:rFonts w:ascii="Arial" w:hAnsi="Arial" w:cs="Arial"/>
          <w:sz w:val="23"/>
          <w:szCs w:val="23"/>
        </w:rPr>
      </w:pPr>
    </w:p>
    <w:p w:rsidR="0017487F" w:rsidRPr="00B2432D" w:rsidRDefault="00C00794" w:rsidP="00C00794">
      <w:pPr>
        <w:spacing w:after="0"/>
        <w:jc w:val="both"/>
        <w:rPr>
          <w:rFonts w:ascii="Arial" w:hAnsi="Arial" w:cs="Arial"/>
          <w:b/>
          <w:color w:val="17365D" w:themeColor="text2" w:themeShade="BF"/>
          <w:sz w:val="24"/>
          <w:szCs w:val="23"/>
        </w:rPr>
      </w:pPr>
      <w:r w:rsidRPr="00B2432D">
        <w:rPr>
          <w:rFonts w:ascii="Arial" w:hAnsi="Arial" w:cs="Arial"/>
          <w:b/>
          <w:color w:val="17365D" w:themeColor="text2" w:themeShade="BF"/>
          <w:sz w:val="24"/>
          <w:szCs w:val="23"/>
        </w:rPr>
        <w:lastRenderedPageBreak/>
        <w:t>3.</w:t>
      </w:r>
      <w:r w:rsidRPr="00B2432D">
        <w:rPr>
          <w:rFonts w:ascii="Arial" w:hAnsi="Arial" w:cs="Arial"/>
          <w:b/>
          <w:color w:val="17365D" w:themeColor="text2" w:themeShade="BF"/>
          <w:sz w:val="24"/>
          <w:szCs w:val="23"/>
        </w:rPr>
        <w:tab/>
        <w:t>Evaluación de Simulacro</w:t>
      </w:r>
    </w:p>
    <w:p w:rsidR="00C00794" w:rsidRPr="0017487F" w:rsidRDefault="00C00794" w:rsidP="00C00794">
      <w:pPr>
        <w:spacing w:after="0"/>
        <w:jc w:val="both"/>
        <w:rPr>
          <w:rFonts w:ascii="Arial" w:hAnsi="Arial" w:cs="Arial"/>
          <w:b/>
          <w:sz w:val="23"/>
          <w:szCs w:val="23"/>
        </w:rPr>
      </w:pPr>
      <w:r w:rsidRPr="00C00794">
        <w:rPr>
          <w:rFonts w:ascii="Arial" w:hAnsi="Arial" w:cs="Arial"/>
          <w:sz w:val="23"/>
          <w:szCs w:val="23"/>
        </w:rPr>
        <w:t>Observadores de la Unidad de Prevención e Investigación de Incendios asisten a la realización del simulacro, se evalúa su desarrollo y se elabora un informe con las oportunidades de mejora detectadas.</w:t>
      </w:r>
    </w:p>
    <w:p w:rsidR="00C00794" w:rsidRDefault="00C00794" w:rsidP="00C00794">
      <w:pPr>
        <w:spacing w:after="0"/>
        <w:jc w:val="both"/>
        <w:rPr>
          <w:rFonts w:ascii="Arial" w:hAnsi="Arial" w:cs="Arial"/>
          <w:sz w:val="23"/>
          <w:szCs w:val="23"/>
        </w:rPr>
      </w:pPr>
      <w:r w:rsidRPr="00C00794">
        <w:rPr>
          <w:rFonts w:ascii="Arial" w:hAnsi="Arial" w:cs="Arial"/>
          <w:sz w:val="23"/>
          <w:szCs w:val="23"/>
        </w:rPr>
        <w:t xml:space="preserve"> </w:t>
      </w:r>
    </w:p>
    <w:p w:rsidR="00C00794" w:rsidRPr="00B2432D" w:rsidRDefault="00C00794" w:rsidP="00C00794">
      <w:pPr>
        <w:spacing w:after="0"/>
        <w:jc w:val="both"/>
        <w:rPr>
          <w:rFonts w:ascii="Arial" w:hAnsi="Arial" w:cs="Arial"/>
          <w:b/>
          <w:color w:val="17365D" w:themeColor="text2" w:themeShade="BF"/>
          <w:sz w:val="24"/>
          <w:szCs w:val="23"/>
        </w:rPr>
      </w:pPr>
    </w:p>
    <w:p w:rsidR="00C00794" w:rsidRPr="00B2432D" w:rsidRDefault="00C00794" w:rsidP="00C00794">
      <w:pPr>
        <w:spacing w:after="0"/>
        <w:jc w:val="both"/>
        <w:rPr>
          <w:rFonts w:ascii="Arial" w:hAnsi="Arial" w:cs="Arial"/>
          <w:b/>
          <w:color w:val="17365D" w:themeColor="text2" w:themeShade="BF"/>
          <w:sz w:val="24"/>
          <w:szCs w:val="23"/>
        </w:rPr>
      </w:pPr>
      <w:r w:rsidRPr="00B2432D">
        <w:rPr>
          <w:rFonts w:ascii="Arial" w:hAnsi="Arial" w:cs="Arial"/>
          <w:b/>
          <w:color w:val="17365D" w:themeColor="text2" w:themeShade="BF"/>
          <w:sz w:val="24"/>
          <w:szCs w:val="23"/>
        </w:rPr>
        <w:t>4.</w:t>
      </w:r>
      <w:r w:rsidRPr="00B2432D">
        <w:rPr>
          <w:rFonts w:ascii="Arial" w:hAnsi="Arial" w:cs="Arial"/>
          <w:b/>
          <w:color w:val="17365D" w:themeColor="text2" w:themeShade="BF"/>
          <w:sz w:val="24"/>
          <w:szCs w:val="23"/>
        </w:rPr>
        <w:tab/>
        <w:t>Revisión de proyectos constructivos mediante la Pl</w:t>
      </w:r>
      <w:r w:rsidR="0017487F" w:rsidRPr="00B2432D">
        <w:rPr>
          <w:rFonts w:ascii="Arial" w:hAnsi="Arial" w:cs="Arial"/>
          <w:b/>
          <w:color w:val="17365D" w:themeColor="text2" w:themeShade="BF"/>
          <w:sz w:val="24"/>
          <w:szCs w:val="23"/>
        </w:rPr>
        <w:t>ataforma APC</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Este servicio se realiza con fundamento en el Decreto Ejecutivo N° 36550-MP-MIVAH-S-MEIC y consiste en la revisión de los aspectos de seguridad humana y protección contra incendios a nivel de planos constructivos que son tramitados a través del Colegio Federado de Ingenieros y Arquitectos.</w:t>
      </w:r>
    </w:p>
    <w:p w:rsidR="00C00794" w:rsidRDefault="00C00794" w:rsidP="00C00794">
      <w:pPr>
        <w:spacing w:after="0"/>
        <w:jc w:val="both"/>
        <w:rPr>
          <w:rFonts w:ascii="Arial" w:hAnsi="Arial" w:cs="Arial"/>
          <w:sz w:val="23"/>
          <w:szCs w:val="23"/>
        </w:rPr>
      </w:pPr>
      <w:r w:rsidRPr="00C00794">
        <w:rPr>
          <w:rFonts w:ascii="Arial" w:hAnsi="Arial" w:cs="Arial"/>
          <w:sz w:val="23"/>
          <w:szCs w:val="23"/>
        </w:rPr>
        <w:t xml:space="preserve"> </w:t>
      </w:r>
    </w:p>
    <w:p w:rsidR="00C00794" w:rsidRPr="00C00794" w:rsidRDefault="00C00794" w:rsidP="00C00794">
      <w:pPr>
        <w:spacing w:after="0"/>
        <w:jc w:val="both"/>
        <w:rPr>
          <w:rFonts w:ascii="Arial" w:hAnsi="Arial" w:cs="Arial"/>
          <w:sz w:val="23"/>
          <w:szCs w:val="23"/>
        </w:rPr>
      </w:pPr>
    </w:p>
    <w:p w:rsidR="00C00794" w:rsidRPr="00B2432D" w:rsidRDefault="00C00794" w:rsidP="00C00794">
      <w:pPr>
        <w:spacing w:after="0"/>
        <w:jc w:val="both"/>
        <w:rPr>
          <w:rFonts w:ascii="Arial" w:hAnsi="Arial" w:cs="Arial"/>
          <w:b/>
          <w:color w:val="17365D" w:themeColor="text2" w:themeShade="BF"/>
          <w:sz w:val="24"/>
          <w:szCs w:val="23"/>
        </w:rPr>
      </w:pPr>
      <w:r w:rsidRPr="00B2432D">
        <w:rPr>
          <w:rFonts w:ascii="Arial" w:hAnsi="Arial" w:cs="Arial"/>
          <w:b/>
          <w:color w:val="17365D" w:themeColor="text2" w:themeShade="BF"/>
          <w:sz w:val="24"/>
          <w:szCs w:val="23"/>
        </w:rPr>
        <w:t>5.</w:t>
      </w:r>
      <w:r w:rsidRPr="00B2432D">
        <w:rPr>
          <w:rFonts w:ascii="Arial" w:hAnsi="Arial" w:cs="Arial"/>
          <w:b/>
          <w:color w:val="17365D" w:themeColor="text2" w:themeShade="BF"/>
          <w:sz w:val="24"/>
          <w:szCs w:val="23"/>
        </w:rPr>
        <w:tab/>
        <w:t>Verificación de requerimiento de requisitos de protección contra incendios</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Este servicio se ejecuta en edificios que cuenten con trámite de planos mediante el Administrador de Proyectos de Construcción (APC) del Colegio Federado de Ingenieros y Arquitectos (CFIA).</w:t>
      </w:r>
    </w:p>
    <w:p w:rsidR="00C00794" w:rsidRPr="00C00794" w:rsidRDefault="00C00794" w:rsidP="00C00794">
      <w:pPr>
        <w:spacing w:after="0"/>
        <w:jc w:val="both"/>
        <w:rPr>
          <w:rFonts w:ascii="Arial" w:hAnsi="Arial" w:cs="Arial"/>
          <w:sz w:val="23"/>
          <w:szCs w:val="23"/>
        </w:rPr>
      </w:pPr>
      <w:r w:rsidRPr="00C00794">
        <w:rPr>
          <w:rFonts w:ascii="Arial" w:hAnsi="Arial" w:cs="Arial"/>
          <w:sz w:val="23"/>
          <w:szCs w:val="23"/>
        </w:rPr>
        <w:t>La verificación en sitio consiste en revisar los elementos de protección contra incendios pasivos y activos indicados en planos por el profesional responsable así como el cumplimiento de disposiciones indicadas en informes de revisión efectuados por medio de la plataforma APC. Adicionalmente se verifican otros elementos de riesgo detectados en la inspección que no hayan sido posible identificar mediante la revisión de los planos.</w:t>
      </w:r>
    </w:p>
    <w:p w:rsidR="00A10DEA" w:rsidRDefault="00A10DEA" w:rsidP="00C00794">
      <w:pPr>
        <w:spacing w:after="0"/>
      </w:pPr>
    </w:p>
    <w:p w:rsidR="0017487F" w:rsidRDefault="0017487F" w:rsidP="00C00794">
      <w:pPr>
        <w:spacing w:after="0"/>
      </w:pPr>
    </w:p>
    <w:p w:rsidR="0017487F" w:rsidRPr="0017487F" w:rsidRDefault="0017487F" w:rsidP="0017487F">
      <w:pPr>
        <w:spacing w:after="0"/>
        <w:rPr>
          <w:rFonts w:ascii="Arial" w:hAnsi="Arial" w:cs="Arial"/>
          <w:b/>
          <w:sz w:val="28"/>
          <w:szCs w:val="23"/>
        </w:rPr>
      </w:pPr>
      <w:r w:rsidRPr="0017487F">
        <w:rPr>
          <w:rFonts w:ascii="Arial" w:hAnsi="Arial" w:cs="Arial"/>
          <w:b/>
          <w:sz w:val="28"/>
          <w:szCs w:val="23"/>
        </w:rPr>
        <w:t>Servicios Prevención e Investigación de Incendios</w:t>
      </w:r>
    </w:p>
    <w:p w:rsidR="0017487F" w:rsidRDefault="0017487F" w:rsidP="0017487F">
      <w:pPr>
        <w:pStyle w:val="Default"/>
        <w:rPr>
          <w:color w:val="auto"/>
          <w:sz w:val="23"/>
          <w:szCs w:val="23"/>
        </w:rPr>
      </w:pPr>
      <w:r>
        <w:rPr>
          <w:b/>
          <w:bCs/>
          <w:color w:val="auto"/>
          <w:sz w:val="23"/>
          <w:szCs w:val="23"/>
        </w:rPr>
        <w:t xml:space="preserve">Cualquier consulta, estamos para servirles: </w:t>
      </w:r>
    </w:p>
    <w:p w:rsidR="0017487F" w:rsidRDefault="0017487F" w:rsidP="0017487F">
      <w:pPr>
        <w:pStyle w:val="Default"/>
        <w:rPr>
          <w:color w:val="auto"/>
          <w:sz w:val="23"/>
          <w:szCs w:val="23"/>
        </w:rPr>
      </w:pPr>
      <w:r>
        <w:rPr>
          <w:color w:val="auto"/>
          <w:sz w:val="23"/>
          <w:szCs w:val="23"/>
        </w:rPr>
        <w:t xml:space="preserve">Edificio Torre Mercedes, Piso 11. </w:t>
      </w:r>
    </w:p>
    <w:p w:rsidR="0017487F" w:rsidRDefault="0017487F" w:rsidP="0017487F">
      <w:pPr>
        <w:pStyle w:val="Default"/>
        <w:rPr>
          <w:color w:val="auto"/>
          <w:sz w:val="23"/>
          <w:szCs w:val="23"/>
        </w:rPr>
      </w:pPr>
      <w:r>
        <w:rPr>
          <w:b/>
          <w:bCs/>
          <w:color w:val="auto"/>
          <w:sz w:val="23"/>
          <w:szCs w:val="23"/>
        </w:rPr>
        <w:t xml:space="preserve">Teléfonos: </w:t>
      </w:r>
      <w:r w:rsidRPr="0017487F">
        <w:rPr>
          <w:sz w:val="23"/>
          <w:szCs w:val="23"/>
          <w:lang w:eastAsia="es-CR"/>
        </w:rPr>
        <w:t>2547-3737</w:t>
      </w:r>
      <w:r>
        <w:rPr>
          <w:sz w:val="23"/>
          <w:szCs w:val="23"/>
          <w:lang w:eastAsia="es-CR"/>
        </w:rPr>
        <w:t xml:space="preserve"> </w:t>
      </w:r>
    </w:p>
    <w:p w:rsidR="0017487F" w:rsidRDefault="0017487F" w:rsidP="0017487F">
      <w:pPr>
        <w:tabs>
          <w:tab w:val="left" w:pos="945"/>
        </w:tabs>
        <w:rPr>
          <w:rFonts w:ascii="Arial" w:hAnsi="Arial" w:cs="Arial"/>
          <w:b/>
          <w:bCs/>
          <w:sz w:val="23"/>
          <w:szCs w:val="23"/>
        </w:rPr>
      </w:pPr>
      <w:r w:rsidRPr="00576AD0">
        <w:rPr>
          <w:rFonts w:ascii="Arial" w:hAnsi="Arial" w:cs="Arial"/>
          <w:b/>
          <w:bCs/>
          <w:sz w:val="23"/>
          <w:szCs w:val="23"/>
        </w:rPr>
        <w:t xml:space="preserve">Correo electrónico: </w:t>
      </w:r>
      <w:hyperlink r:id="rId8" w:history="1">
        <w:r w:rsidRPr="0017487F">
          <w:rPr>
            <w:rStyle w:val="Hipervnculo"/>
            <w:rFonts w:ascii="Arial" w:hAnsi="Arial" w:cs="Arial"/>
            <w:bCs/>
            <w:sz w:val="23"/>
            <w:szCs w:val="23"/>
          </w:rPr>
          <w:t>ncascanteg@bomberos.go.cr</w:t>
        </w:r>
      </w:hyperlink>
    </w:p>
    <w:p w:rsidR="0017487F" w:rsidRDefault="0017487F" w:rsidP="0017487F">
      <w:pPr>
        <w:tabs>
          <w:tab w:val="left" w:pos="945"/>
        </w:tabs>
        <w:rPr>
          <w:rFonts w:ascii="Arial" w:hAnsi="Arial" w:cs="Arial"/>
          <w:sz w:val="23"/>
          <w:szCs w:val="23"/>
        </w:rPr>
      </w:pPr>
      <w:r>
        <w:rPr>
          <w:rFonts w:ascii="Arial" w:hAnsi="Arial" w:cs="Arial"/>
          <w:sz w:val="24"/>
          <w:szCs w:val="24"/>
          <w:lang w:eastAsia="es-CR"/>
        </w:rPr>
        <w:br/>
      </w:r>
    </w:p>
    <w:p w:rsidR="0017487F" w:rsidRDefault="0017487F" w:rsidP="00C00794">
      <w:pPr>
        <w:spacing w:after="0"/>
      </w:pPr>
    </w:p>
    <w:sectPr w:rsidR="0017487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4F" w:rsidRDefault="00202F4F" w:rsidP="00C00794">
      <w:pPr>
        <w:spacing w:after="0" w:line="240" w:lineRule="auto"/>
      </w:pPr>
      <w:r>
        <w:separator/>
      </w:r>
    </w:p>
  </w:endnote>
  <w:endnote w:type="continuationSeparator" w:id="0">
    <w:p w:rsidR="00202F4F" w:rsidRDefault="00202F4F" w:rsidP="00C0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4F" w:rsidRDefault="00202F4F" w:rsidP="00C00794">
      <w:pPr>
        <w:spacing w:after="0" w:line="240" w:lineRule="auto"/>
      </w:pPr>
      <w:r>
        <w:separator/>
      </w:r>
    </w:p>
  </w:footnote>
  <w:footnote w:type="continuationSeparator" w:id="0">
    <w:p w:rsidR="00202F4F" w:rsidRDefault="00202F4F" w:rsidP="00C00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2D" w:rsidRPr="001507F5" w:rsidRDefault="00B2432D" w:rsidP="00B2432D">
    <w:pPr>
      <w:pStyle w:val="Encabezado"/>
      <w:spacing w:line="276" w:lineRule="auto"/>
      <w:rPr>
        <w:rFonts w:ascii="Arial" w:hAnsi="Arial" w:cs="Arial"/>
      </w:rPr>
    </w:pPr>
    <w:r>
      <w:rPr>
        <w:rFonts w:ascii="Arial" w:eastAsia="Times New Roman" w:hAnsi="Arial" w:cs="Arial"/>
        <w:noProof/>
        <w:color w:val="000000"/>
        <w:lang w:eastAsia="es-CR"/>
      </w:rPr>
      <w:drawing>
        <wp:anchor distT="0" distB="0" distL="114300" distR="114300" simplePos="0" relativeHeight="251659264" behindDoc="1" locked="0" layoutInCell="1" allowOverlap="1" wp14:anchorId="73635B2A" wp14:editId="45AD4ABA">
          <wp:simplePos x="0" y="0"/>
          <wp:positionH relativeFrom="column">
            <wp:posOffset>-937260</wp:posOffset>
          </wp:positionH>
          <wp:positionV relativeFrom="paragraph">
            <wp:posOffset>-382905</wp:posOffset>
          </wp:positionV>
          <wp:extent cx="847725" cy="847725"/>
          <wp:effectExtent l="0" t="0" r="9525" b="9525"/>
          <wp:wrapTight wrapText="bothSides">
            <wp:wrapPolygon edited="0">
              <wp:start x="7766" y="0"/>
              <wp:lineTo x="3883" y="1942"/>
              <wp:lineTo x="0" y="6310"/>
              <wp:lineTo x="0" y="11649"/>
              <wp:lineTo x="1456" y="17474"/>
              <wp:lineTo x="6796" y="21357"/>
              <wp:lineTo x="9222" y="21357"/>
              <wp:lineTo x="12135" y="21357"/>
              <wp:lineTo x="14562" y="21357"/>
              <wp:lineTo x="20387" y="17474"/>
              <wp:lineTo x="21357" y="12620"/>
              <wp:lineTo x="21357" y="6310"/>
              <wp:lineTo x="17474" y="1942"/>
              <wp:lineTo x="13591" y="0"/>
              <wp:lineTo x="7766" y="0"/>
            </wp:wrapPolygon>
          </wp:wrapTight>
          <wp:docPr id="1" name="Imagen 1" descr="Logo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Bomberos"/>
                  <pic:cNvPicPr>
                    <a:picLocks noChangeAspect="1" noChangeArrowheads="1"/>
                  </pic:cNvPicPr>
                </pic:nvPicPr>
                <pic:blipFill>
                  <a:blip r:embed="rId1" r:link="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rPr>
      <w:t xml:space="preserve">Unidad de Prevención e Investigación de Incendios </w:t>
    </w:r>
  </w:p>
  <w:p w:rsidR="00B2432D" w:rsidRPr="001507F5" w:rsidRDefault="00B2432D" w:rsidP="00B2432D">
    <w:pPr>
      <w:pStyle w:val="Encabezado"/>
      <w:spacing w:line="276" w:lineRule="auto"/>
      <w:rPr>
        <w:rFonts w:ascii="Arial" w:hAnsi="Arial" w:cs="Arial"/>
      </w:rPr>
    </w:pPr>
    <w:r>
      <w:rPr>
        <w:rFonts w:ascii="Arial" w:hAnsi="Arial" w:cs="Arial"/>
      </w:rPr>
      <w:t xml:space="preserve">  Servicios</w:t>
    </w:r>
  </w:p>
  <w:p w:rsidR="00B2432D" w:rsidRDefault="00B243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5627"/>
    <w:multiLevelType w:val="hybridMultilevel"/>
    <w:tmpl w:val="A19A0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94"/>
    <w:rsid w:val="0017487F"/>
    <w:rsid w:val="00202F4F"/>
    <w:rsid w:val="00473C07"/>
    <w:rsid w:val="006171F4"/>
    <w:rsid w:val="006602AA"/>
    <w:rsid w:val="00755DD7"/>
    <w:rsid w:val="00A01C78"/>
    <w:rsid w:val="00A10DEA"/>
    <w:rsid w:val="00B2432D"/>
    <w:rsid w:val="00C0079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794"/>
    <w:pPr>
      <w:ind w:left="720"/>
      <w:contextualSpacing/>
    </w:pPr>
  </w:style>
  <w:style w:type="paragraph" w:customStyle="1" w:styleId="Default">
    <w:name w:val="Default"/>
    <w:rsid w:val="0017487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7487F"/>
    <w:rPr>
      <w:color w:val="0000FF" w:themeColor="hyperlink"/>
      <w:u w:val="single"/>
    </w:rPr>
  </w:style>
  <w:style w:type="paragraph" w:styleId="Encabezado">
    <w:name w:val="header"/>
    <w:basedOn w:val="Normal"/>
    <w:link w:val="EncabezadoCar"/>
    <w:uiPriority w:val="99"/>
    <w:unhideWhenUsed/>
    <w:rsid w:val="00B243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32D"/>
  </w:style>
  <w:style w:type="paragraph" w:styleId="Piedepgina">
    <w:name w:val="footer"/>
    <w:basedOn w:val="Normal"/>
    <w:link w:val="PiedepginaCar"/>
    <w:uiPriority w:val="99"/>
    <w:unhideWhenUsed/>
    <w:rsid w:val="00B243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794"/>
    <w:pPr>
      <w:ind w:left="720"/>
      <w:contextualSpacing/>
    </w:pPr>
  </w:style>
  <w:style w:type="paragraph" w:customStyle="1" w:styleId="Default">
    <w:name w:val="Default"/>
    <w:rsid w:val="0017487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7487F"/>
    <w:rPr>
      <w:color w:val="0000FF" w:themeColor="hyperlink"/>
      <w:u w:val="single"/>
    </w:rPr>
  </w:style>
  <w:style w:type="paragraph" w:styleId="Encabezado">
    <w:name w:val="header"/>
    <w:basedOn w:val="Normal"/>
    <w:link w:val="EncabezadoCar"/>
    <w:uiPriority w:val="99"/>
    <w:unhideWhenUsed/>
    <w:rsid w:val="00B243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32D"/>
  </w:style>
  <w:style w:type="paragraph" w:styleId="Piedepgina">
    <w:name w:val="footer"/>
    <w:basedOn w:val="Normal"/>
    <w:link w:val="PiedepginaCar"/>
    <w:uiPriority w:val="99"/>
    <w:unhideWhenUsed/>
    <w:rsid w:val="00B243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3351">
      <w:bodyDiv w:val="1"/>
      <w:marLeft w:val="0"/>
      <w:marRight w:val="0"/>
      <w:marTop w:val="0"/>
      <w:marBottom w:val="0"/>
      <w:divBdr>
        <w:top w:val="none" w:sz="0" w:space="0" w:color="auto"/>
        <w:left w:val="none" w:sz="0" w:space="0" w:color="auto"/>
        <w:bottom w:val="none" w:sz="0" w:space="0" w:color="auto"/>
        <w:right w:val="none" w:sz="0" w:space="0" w:color="auto"/>
      </w:divBdr>
    </w:div>
    <w:div w:id="20711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scanteg@bomberos.go.c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bomberos-costa-rica.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Chacón Madrigal</dc:creator>
  <cp:lastModifiedBy>Jessica Mora Richmond</cp:lastModifiedBy>
  <cp:revision>2</cp:revision>
  <cp:lastPrinted>2017-06-14T20:06:00Z</cp:lastPrinted>
  <dcterms:created xsi:type="dcterms:W3CDTF">2018-05-08T22:36:00Z</dcterms:created>
  <dcterms:modified xsi:type="dcterms:W3CDTF">2018-05-08T22:36:00Z</dcterms:modified>
</cp:coreProperties>
</file>